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C1A2C" w14:textId="77777777" w:rsidR="0094740B" w:rsidRDefault="0094740B" w:rsidP="00AF22F5">
      <w:pPr>
        <w:rPr>
          <w:rFonts w:eastAsiaTheme="majorEastAsia"/>
          <w:lang w:eastAsia="en-US"/>
        </w:rPr>
      </w:pPr>
    </w:p>
    <w:p w14:paraId="7FFC1A2D" w14:textId="77777777" w:rsidR="0071464C" w:rsidRDefault="0071464C" w:rsidP="00AF22F5">
      <w:pPr>
        <w:rPr>
          <w:lang w:eastAsia="en-US"/>
        </w:rPr>
      </w:pPr>
    </w:p>
    <w:p w14:paraId="7FFC1A2E" w14:textId="77777777" w:rsidR="00987FF5" w:rsidRDefault="00987FF5" w:rsidP="00AF22F5">
      <w:pPr>
        <w:rPr>
          <w:lang w:eastAsia="en-US"/>
        </w:rPr>
      </w:pPr>
    </w:p>
    <w:sdt>
      <w:sdtPr>
        <w:alias w:val="Title"/>
        <w:tag w:val=""/>
        <w:id w:val="1286467738"/>
        <w:placeholder>
          <w:docPart w:val="EBC7EF5F198C4527A786A4EB6A2AAB3F"/>
        </w:placeholder>
        <w:dataBinding w:prefixMappings="xmlns:ns0='http://purl.org/dc/elements/1.1/' xmlns:ns1='http://schemas.openxmlformats.org/package/2006/metadata/core-properties' " w:xpath="/ns1:coreProperties[1]/ns0:title[1]" w:storeItemID="{6C3C8BC8-F283-45AE-878A-BAB7291924A1}"/>
        <w:text/>
      </w:sdtPr>
      <w:sdtContent>
        <w:p w14:paraId="7FFC1A2F" w14:textId="77777777" w:rsidR="00FB5BAE" w:rsidRDefault="00543837" w:rsidP="003063A1">
          <w:pPr>
            <w:pStyle w:val="Entte1"/>
          </w:pPr>
          <w:r>
            <w:t>EPT204 : Analyse du secteur conseil en systèmes et logiciels informatiques (6202A) en France</w:t>
          </w:r>
        </w:p>
      </w:sdtContent>
    </w:sdt>
    <w:p w14:paraId="7FFC1A30" w14:textId="77777777" w:rsidR="0071464C" w:rsidRDefault="0071464C" w:rsidP="00AF22F5">
      <w:pPr>
        <w:rPr>
          <w:lang w:eastAsia="en-US"/>
        </w:rPr>
      </w:pPr>
      <w:bookmarkStart w:id="0" w:name="_GoBack"/>
      <w:bookmarkEnd w:id="0"/>
    </w:p>
    <w:p w14:paraId="7FFC1A31" w14:textId="77777777" w:rsidR="000324E5" w:rsidRDefault="000324E5" w:rsidP="00AF22F5"/>
    <w:p w14:paraId="7FFC1A32" w14:textId="77777777" w:rsidR="003063A1" w:rsidRDefault="003063A1" w:rsidP="00AF22F5"/>
    <w:p w14:paraId="7FFC1A33" w14:textId="77777777" w:rsidR="00492605" w:rsidRDefault="003063A1" w:rsidP="00ED5F06">
      <w:pPr>
        <w:ind w:left="2835"/>
        <w:jc w:val="left"/>
        <w:rPr>
          <w:rStyle w:val="IntenseEmphasis"/>
        </w:rPr>
      </w:pPr>
      <w:r w:rsidRPr="003063A1">
        <w:rPr>
          <w:rStyle w:val="IntenseEmphasis"/>
        </w:rPr>
        <w:t>Comment le secteur résiste-t-il</w:t>
      </w:r>
      <w:r w:rsidR="00492605">
        <w:rPr>
          <w:rStyle w:val="IntenseEmphasis"/>
        </w:rPr>
        <w:t> :</w:t>
      </w:r>
      <w:r w:rsidR="00ED5F06">
        <w:rPr>
          <w:rStyle w:val="IntenseEmphasis"/>
        </w:rPr>
        <w:t xml:space="preserve"> </w:t>
      </w:r>
    </w:p>
    <w:p w14:paraId="7FFC1A34" w14:textId="77777777" w:rsidR="00492605" w:rsidRDefault="00492605" w:rsidP="00ED5F06">
      <w:pPr>
        <w:pStyle w:val="ListParagraph"/>
        <w:numPr>
          <w:ilvl w:val="0"/>
          <w:numId w:val="33"/>
        </w:numPr>
        <w:ind w:left="2835"/>
        <w:jc w:val="left"/>
        <w:rPr>
          <w:rStyle w:val="IntenseEmphasis"/>
        </w:rPr>
      </w:pPr>
      <w:r>
        <w:rPr>
          <w:rStyle w:val="IntenseEmphasis"/>
        </w:rPr>
        <w:t>A</w:t>
      </w:r>
      <w:r w:rsidR="003063A1" w:rsidRPr="003063A1">
        <w:rPr>
          <w:rStyle w:val="IntenseEmphasis"/>
        </w:rPr>
        <w:t>ux faibles barrières à l’entrée et</w:t>
      </w:r>
      <w:r w:rsidR="00ED5F06">
        <w:rPr>
          <w:rStyle w:val="IntenseEmphasis"/>
        </w:rPr>
        <w:t xml:space="preserve"> à</w:t>
      </w:r>
      <w:r w:rsidR="003063A1" w:rsidRPr="003063A1">
        <w:rPr>
          <w:rStyle w:val="IntenseEmphasis"/>
        </w:rPr>
        <w:t xml:space="preserve"> la forte concurrence</w:t>
      </w:r>
      <w:r w:rsidR="00ED5F06">
        <w:rPr>
          <w:rStyle w:val="IntenseEmphasis"/>
        </w:rPr>
        <w:t xml:space="preserve"> </w:t>
      </w:r>
    </w:p>
    <w:p w14:paraId="7FFC1A35" w14:textId="77777777" w:rsidR="00492605" w:rsidRDefault="00492605" w:rsidP="005549E1">
      <w:pPr>
        <w:pStyle w:val="ListParagraph"/>
        <w:numPr>
          <w:ilvl w:val="0"/>
          <w:numId w:val="33"/>
        </w:numPr>
        <w:ind w:left="2835"/>
        <w:jc w:val="left"/>
        <w:rPr>
          <w:rStyle w:val="IntenseEmphasis"/>
        </w:rPr>
      </w:pPr>
      <w:r>
        <w:rPr>
          <w:rStyle w:val="IntenseEmphasis"/>
        </w:rPr>
        <w:t xml:space="preserve">A la pression des clients qui veulent </w:t>
      </w:r>
      <w:r w:rsidR="005549E1">
        <w:rPr>
          <w:rStyle w:val="IntenseEmphasis"/>
        </w:rPr>
        <w:t xml:space="preserve">optimiser leurs coûts informatiques </w:t>
      </w:r>
    </w:p>
    <w:p w14:paraId="7FFC1A36" w14:textId="77777777" w:rsidR="003063A1" w:rsidRPr="003063A1" w:rsidRDefault="00492605" w:rsidP="00ED5F06">
      <w:pPr>
        <w:pStyle w:val="ListParagraph"/>
        <w:numPr>
          <w:ilvl w:val="0"/>
          <w:numId w:val="33"/>
        </w:numPr>
        <w:ind w:left="2835"/>
        <w:jc w:val="left"/>
        <w:rPr>
          <w:rStyle w:val="IntenseEmphasis"/>
        </w:rPr>
      </w:pPr>
      <w:r>
        <w:rPr>
          <w:rStyle w:val="IntenseEmphasis"/>
        </w:rPr>
        <w:t>A la pression des fournisseurs (consultants) qui veulent gagner plus</w:t>
      </w:r>
      <w:r w:rsidR="00ED5F06">
        <w:rPr>
          <w:rStyle w:val="IntenseEmphasis"/>
        </w:rPr>
        <w:t xml:space="preserve"> et qui n’hésitent pas à partir </w:t>
      </w:r>
    </w:p>
    <w:p w14:paraId="7FFC1A37" w14:textId="77777777" w:rsidR="003063A1" w:rsidRDefault="003063A1" w:rsidP="00AF22F5"/>
    <w:p w14:paraId="7FFC1A38" w14:textId="77777777" w:rsidR="003063A1" w:rsidRPr="004D5BCB" w:rsidRDefault="003063A1" w:rsidP="00AF22F5"/>
    <w:p w14:paraId="7FFC1A39" w14:textId="6A4813ED" w:rsidR="00A04D49" w:rsidRPr="00054DCB" w:rsidRDefault="000324E5" w:rsidP="00803407">
      <w:pPr>
        <w:pStyle w:val="Heading9"/>
        <w:jc w:val="center"/>
        <w:rPr>
          <w:sz w:val="18"/>
          <w:szCs w:val="22"/>
        </w:rPr>
      </w:pPr>
      <w:r w:rsidRPr="00054DCB">
        <w:rPr>
          <w:sz w:val="18"/>
          <w:szCs w:val="22"/>
        </w:rPr>
        <w:t xml:space="preserve">Réalisé par : </w:t>
      </w:r>
      <w:fldSimple w:instr=" AUTHOR   \* MERGEFORMAT ">
        <w:r w:rsidR="00E2533D" w:rsidRPr="00054DCB">
          <w:rPr>
            <w:noProof/>
            <w:sz w:val="18"/>
            <w:szCs w:val="22"/>
          </w:rPr>
          <w:t>Mohamed Amine EL AFRIT</w:t>
        </w:r>
      </w:fldSimple>
      <w:r w:rsidR="00DF2E84" w:rsidRPr="00054DCB">
        <w:rPr>
          <w:sz w:val="18"/>
          <w:szCs w:val="22"/>
        </w:rPr>
        <w:t xml:space="preserve"> </w:t>
      </w:r>
    </w:p>
    <w:p w14:paraId="7FFC1A3A" w14:textId="77777777" w:rsidR="00CF1510" w:rsidRPr="00054DCB" w:rsidRDefault="00CF1510" w:rsidP="001967D1">
      <w:pPr>
        <w:pStyle w:val="Heading9"/>
        <w:jc w:val="center"/>
        <w:rPr>
          <w:sz w:val="18"/>
          <w:szCs w:val="22"/>
        </w:rPr>
      </w:pPr>
    </w:p>
    <w:p w14:paraId="7FFC1A3B" w14:textId="01ACA027" w:rsidR="001967D1" w:rsidRPr="00054DCB" w:rsidRDefault="00B35212" w:rsidP="00803407">
      <w:pPr>
        <w:pStyle w:val="Heading9"/>
        <w:jc w:val="center"/>
        <w:rPr>
          <w:sz w:val="18"/>
          <w:szCs w:val="22"/>
        </w:rPr>
      </w:pPr>
      <w:r w:rsidRPr="00B35212">
        <w:rPr>
          <w:sz w:val="18"/>
          <w:szCs w:val="22"/>
        </w:rPr>
        <w:t>Encadré par : Pr</w:t>
      </w:r>
      <w:r w:rsidR="00803407">
        <w:rPr>
          <w:sz w:val="18"/>
          <w:szCs w:val="22"/>
        </w:rPr>
        <w:t>.</w:t>
      </w:r>
      <w:r w:rsidRPr="00B35212">
        <w:rPr>
          <w:sz w:val="18"/>
          <w:szCs w:val="22"/>
        </w:rPr>
        <w:t xml:space="preserve"> Philippe MOATI</w:t>
      </w:r>
      <w:r w:rsidR="00154899" w:rsidRPr="00054DCB">
        <w:rPr>
          <w:sz w:val="18"/>
          <w:szCs w:val="22"/>
        </w:rPr>
        <w:t xml:space="preserve"> </w:t>
      </w:r>
    </w:p>
    <w:p w14:paraId="7FFC1A3C" w14:textId="77777777" w:rsidR="00A04D49" w:rsidRPr="00054DCB" w:rsidRDefault="00A04D49" w:rsidP="00A04D49">
      <w:pPr>
        <w:rPr>
          <w:sz w:val="24"/>
          <w:szCs w:val="22"/>
        </w:rPr>
      </w:pPr>
    </w:p>
    <w:p w14:paraId="7FFC1A3D" w14:textId="77777777" w:rsidR="005961A5" w:rsidRPr="00CF1510" w:rsidRDefault="00CB4331" w:rsidP="00B468AB">
      <w:pPr>
        <w:jc w:val="center"/>
      </w:pPr>
      <w:hyperlink r:id="rId9" w:history="1">
        <w:r w:rsidR="00B35212" w:rsidRPr="006E00B6">
          <w:rPr>
            <w:rStyle w:val="Hyperlink"/>
          </w:rPr>
          <w:t>www.mohamedelafrit.com/ept204</w:t>
        </w:r>
      </w:hyperlink>
    </w:p>
    <w:p w14:paraId="7FFC1A3E" w14:textId="77777777" w:rsidR="003A6D72" w:rsidRPr="00063FDA" w:rsidRDefault="00B35212" w:rsidP="009E0D56">
      <w:pPr>
        <w:jc w:val="center"/>
      </w:pPr>
      <w:r>
        <w:t>Juin</w:t>
      </w:r>
      <w:r w:rsidR="00B468AB" w:rsidRPr="00063FDA">
        <w:t xml:space="preserve"> 201</w:t>
      </w:r>
      <w:r w:rsidR="00A04D49" w:rsidRPr="00063FDA">
        <w:t>6</w:t>
      </w:r>
    </w:p>
    <w:p w14:paraId="7FFC1A3F" w14:textId="77777777" w:rsidR="00F17615" w:rsidRPr="00063FDA" w:rsidRDefault="00F17615" w:rsidP="009E0D56">
      <w:pPr>
        <w:jc w:val="center"/>
      </w:pPr>
    </w:p>
    <w:p w14:paraId="7FFC1A40" w14:textId="77777777" w:rsidR="00063FDA" w:rsidRPr="00F21015" w:rsidRDefault="00063FDA" w:rsidP="00063FDA">
      <w:pPr>
        <w:pStyle w:val="Titre1Bis"/>
      </w:pPr>
      <w:bookmarkStart w:id="1" w:name="_Toc454465541"/>
      <w:r>
        <w:lastRenderedPageBreak/>
        <w:t>Références</w:t>
      </w:r>
      <w:bookmarkEnd w:id="1"/>
    </w:p>
    <w:p w14:paraId="7FFC1A41" w14:textId="77777777" w:rsidR="00E537EF" w:rsidRPr="00F21015" w:rsidRDefault="00E537EF" w:rsidP="00063FDA">
      <w:pPr>
        <w:pStyle w:val="Heading2"/>
        <w:numPr>
          <w:ilvl w:val="0"/>
          <w:numId w:val="0"/>
        </w:numPr>
        <w:ind w:left="578"/>
      </w:pPr>
      <w:bookmarkStart w:id="2" w:name="_Toc454465542"/>
      <w:r w:rsidRPr="00F21015">
        <w:t>Objet</w:t>
      </w:r>
      <w:r>
        <w:t xml:space="preserve"> du document</w:t>
      </w:r>
      <w:bookmarkEnd w:id="2"/>
      <w:r>
        <w:t xml:space="preserve"> </w:t>
      </w:r>
    </w:p>
    <w:p w14:paraId="7FFC1A42" w14:textId="77777777" w:rsidR="00E537EF" w:rsidRDefault="00B35212" w:rsidP="00F17615">
      <w:r>
        <w:t>C</w:t>
      </w:r>
      <w:r w:rsidR="00D354CC">
        <w:t>e document</w:t>
      </w:r>
      <w:r w:rsidR="00F17615">
        <w:t xml:space="preserve"> est </w:t>
      </w:r>
      <w:r>
        <w:t>une synthèse de l</w:t>
      </w:r>
      <w:r w:rsidR="00F17615">
        <w:t xml:space="preserve">’analyse </w:t>
      </w:r>
      <w:r>
        <w:t xml:space="preserve">du </w:t>
      </w:r>
      <w:r w:rsidR="00F17615">
        <w:t xml:space="preserve">secteur </w:t>
      </w:r>
      <w:r w:rsidR="005A661C">
        <w:t xml:space="preserve">de </w:t>
      </w:r>
      <w:r w:rsidR="00F17615">
        <w:t xml:space="preserve">conseil en systèmes et logiciels informatiques en France (Code NAF 6202A). </w:t>
      </w:r>
    </w:p>
    <w:p w14:paraId="7FFC1A43" w14:textId="77777777" w:rsidR="00E537EF" w:rsidRDefault="00E537EF" w:rsidP="00AF22F5"/>
    <w:p w14:paraId="7FFC1A44" w14:textId="77777777" w:rsidR="00E537EF" w:rsidRDefault="007E2E68" w:rsidP="00063FDA">
      <w:pPr>
        <w:pStyle w:val="Heading2"/>
        <w:numPr>
          <w:ilvl w:val="0"/>
          <w:numId w:val="0"/>
        </w:numPr>
        <w:ind w:left="578"/>
      </w:pPr>
      <w:bookmarkStart w:id="3" w:name="_Toc454465543"/>
      <w:r>
        <w:t>Donnée</w:t>
      </w:r>
      <w:r w:rsidR="00AA09F2">
        <w:t>s</w:t>
      </w:r>
      <w:r>
        <w:t xml:space="preserve"> </w:t>
      </w:r>
      <w:r w:rsidR="00253E71">
        <w:t>analys</w:t>
      </w:r>
      <w:r>
        <w:t>ées</w:t>
      </w:r>
      <w:bookmarkEnd w:id="3"/>
      <w:r>
        <w:t xml:space="preserve"> </w:t>
      </w:r>
    </w:p>
    <w:p w14:paraId="7FFC1A45" w14:textId="10AB6A3D" w:rsidR="009E6B17" w:rsidRDefault="00A04D49" w:rsidP="007E0FD5">
      <w:r>
        <w:t>La base de données utilisée pour réaliser cette étude est constitu</w:t>
      </w:r>
      <w:r w:rsidR="009E6B17">
        <w:t>ée à partir de plusieurs sources</w:t>
      </w:r>
      <w:r w:rsidR="007E2E68">
        <w:t xml:space="preserve"> comme </w:t>
      </w:r>
      <w:r w:rsidR="009B6199">
        <w:t>l’INSEE, Xerfi, Diane, Business Source Complete</w:t>
      </w:r>
      <w:r w:rsidR="007E2E68">
        <w:t>, AP Management, les r</w:t>
      </w:r>
      <w:r w:rsidR="009E6B17">
        <w:t xml:space="preserve">apports de gestion </w:t>
      </w:r>
      <w:r w:rsidR="007E2E68">
        <w:t>de certains groupes</w:t>
      </w:r>
      <w:r w:rsidR="007E0FD5">
        <w:t xml:space="preserve"> etc</w:t>
      </w:r>
      <w:r w:rsidR="007E2E68">
        <w:t xml:space="preserve">. </w:t>
      </w:r>
    </w:p>
    <w:p w14:paraId="7FFC1A46" w14:textId="77777777" w:rsidR="00E77AC5" w:rsidRDefault="00AB3DC3" w:rsidP="00AF22F5">
      <w:r>
        <w:t xml:space="preserve">Cette base de donnée contient des informations de 150 colonnes sur près de 20 000 entreprises du secteur conseil en systèmes et logiciels informatiques en France. </w:t>
      </w:r>
    </w:p>
    <w:p w14:paraId="7FFC1A47" w14:textId="77777777" w:rsidR="009538FE" w:rsidRDefault="00054DCB" w:rsidP="00543837">
      <w:r>
        <w:t xml:space="preserve">Nous nous sommes basé également sur d’autres sources de veilles citées à la fin de ce document. </w:t>
      </w:r>
    </w:p>
    <w:p w14:paraId="7FFC1A48" w14:textId="77777777" w:rsidR="00543837" w:rsidRDefault="00543837" w:rsidP="00543837"/>
    <w:p w14:paraId="7FFC1A49" w14:textId="77777777" w:rsidR="00CA5373" w:rsidRDefault="00CA5373" w:rsidP="006C062A">
      <w:pPr>
        <w:pStyle w:val="Heading2"/>
        <w:numPr>
          <w:ilvl w:val="0"/>
          <w:numId w:val="0"/>
        </w:numPr>
        <w:ind w:left="578"/>
      </w:pPr>
      <w:bookmarkStart w:id="4" w:name="_Toc454465544"/>
      <w:r>
        <w:t>Bibliographie</w:t>
      </w:r>
      <w:r w:rsidR="009458A7">
        <w:t xml:space="preserve"> et </w:t>
      </w:r>
      <w:r w:rsidR="006C062A">
        <w:t>sources</w:t>
      </w:r>
      <w:r w:rsidR="009458A7">
        <w:t xml:space="preserve"> de veille stratégique</w:t>
      </w:r>
      <w:bookmarkEnd w:id="4"/>
      <w:r>
        <w:t xml:space="preserve"> </w:t>
      </w:r>
    </w:p>
    <w:p w14:paraId="7FFC1A4A" w14:textId="77777777" w:rsidR="00CA5373" w:rsidRDefault="007E2E68" w:rsidP="00347A3B">
      <w:r>
        <w:t xml:space="preserve">Ce document, </w:t>
      </w:r>
      <w:r w:rsidR="00905CA6">
        <w:t xml:space="preserve">les données utilisées et </w:t>
      </w:r>
      <w:r>
        <w:t>l</w:t>
      </w:r>
      <w:r w:rsidR="00CA5373">
        <w:t>a bibliographie détaillée</w:t>
      </w:r>
      <w:r w:rsidR="00347A3B">
        <w:t xml:space="preserve"> </w:t>
      </w:r>
      <w:r w:rsidR="00905CA6">
        <w:t xml:space="preserve">avec les sources de veille stratégique pour ce secteur </w:t>
      </w:r>
      <w:r w:rsidR="00347A3B">
        <w:t>sont</w:t>
      </w:r>
      <w:r w:rsidR="00CA5373">
        <w:t xml:space="preserve"> à l’adresse suivante : </w:t>
      </w:r>
      <w:hyperlink r:id="rId10" w:history="1">
        <w:r w:rsidR="00543837" w:rsidRPr="006E00B6">
          <w:rPr>
            <w:rStyle w:val="Hyperlink"/>
          </w:rPr>
          <w:t>http://www.mohamedelafrit.com/ept204</w:t>
        </w:r>
      </w:hyperlink>
      <w:r w:rsidR="00CA5373">
        <w:t xml:space="preserve"> </w:t>
      </w:r>
    </w:p>
    <w:p w14:paraId="7FFC1A4B" w14:textId="77777777" w:rsidR="00CA5373" w:rsidRDefault="00CA5373" w:rsidP="00AF22F5"/>
    <w:p w14:paraId="7FFC1A4C" w14:textId="77777777" w:rsidR="00E72D29" w:rsidRPr="00F21015" w:rsidRDefault="00EC346F" w:rsidP="00AF22F5">
      <w:pPr>
        <w:pStyle w:val="Titre1Bis"/>
      </w:pPr>
      <w:bookmarkStart w:id="5" w:name="_Toc454465545"/>
      <w:r w:rsidRPr="00F21015">
        <w:lastRenderedPageBreak/>
        <w:t>S</w:t>
      </w:r>
      <w:r w:rsidR="0075241D" w:rsidRPr="00F21015">
        <w:t>ommaire</w:t>
      </w:r>
      <w:bookmarkEnd w:id="5"/>
    </w:p>
    <w:p w14:paraId="7FFC1A4D" w14:textId="77777777" w:rsidR="00324F9A" w:rsidRDefault="00567BB5">
      <w:pPr>
        <w:pStyle w:val="TOC1"/>
        <w:rPr>
          <w:rFonts w:asciiTheme="minorHAnsi" w:eastAsiaTheme="minorEastAsia" w:hAnsiTheme="minorHAnsi" w:cstheme="minorBidi"/>
          <w:noProof/>
          <w:szCs w:val="22"/>
        </w:rPr>
      </w:pPr>
      <w:r w:rsidRPr="00D22E0C">
        <w:rPr>
          <w:sz w:val="6"/>
          <w:szCs w:val="12"/>
        </w:rPr>
        <w:fldChar w:fldCharType="begin"/>
      </w:r>
      <w:r w:rsidR="00EC346F" w:rsidRPr="00D22E0C">
        <w:rPr>
          <w:sz w:val="6"/>
          <w:szCs w:val="12"/>
        </w:rPr>
        <w:instrText xml:space="preserve"> TOC \o "1-4" \h \z \u </w:instrText>
      </w:r>
      <w:r w:rsidRPr="00D22E0C">
        <w:rPr>
          <w:sz w:val="6"/>
          <w:szCs w:val="12"/>
        </w:rPr>
        <w:fldChar w:fldCharType="separate"/>
      </w:r>
      <w:hyperlink w:anchor="_Toc454465541" w:history="1">
        <w:r w:rsidR="00324F9A" w:rsidRPr="00667C33">
          <w:rPr>
            <w:rStyle w:val="Hyperlink"/>
            <w:noProof/>
          </w:rPr>
          <w:t>Références</w:t>
        </w:r>
        <w:r w:rsidR="00324F9A">
          <w:rPr>
            <w:noProof/>
            <w:webHidden/>
          </w:rPr>
          <w:tab/>
        </w:r>
        <w:r>
          <w:rPr>
            <w:noProof/>
            <w:webHidden/>
          </w:rPr>
          <w:fldChar w:fldCharType="begin"/>
        </w:r>
        <w:r w:rsidR="00324F9A">
          <w:rPr>
            <w:noProof/>
            <w:webHidden/>
          </w:rPr>
          <w:instrText xml:space="preserve"> PAGEREF _Toc454465541 \h </w:instrText>
        </w:r>
        <w:r>
          <w:rPr>
            <w:noProof/>
            <w:webHidden/>
          </w:rPr>
        </w:r>
        <w:r>
          <w:rPr>
            <w:noProof/>
            <w:webHidden/>
          </w:rPr>
          <w:fldChar w:fldCharType="separate"/>
        </w:r>
        <w:r w:rsidR="00CB4331">
          <w:rPr>
            <w:noProof/>
            <w:webHidden/>
          </w:rPr>
          <w:t>2</w:t>
        </w:r>
        <w:r>
          <w:rPr>
            <w:noProof/>
            <w:webHidden/>
          </w:rPr>
          <w:fldChar w:fldCharType="end"/>
        </w:r>
      </w:hyperlink>
    </w:p>
    <w:p w14:paraId="7FFC1A4E" w14:textId="77777777" w:rsidR="00324F9A" w:rsidRDefault="00CB4331">
      <w:pPr>
        <w:pStyle w:val="TOC2"/>
        <w:rPr>
          <w:rFonts w:asciiTheme="minorHAnsi" w:eastAsiaTheme="minorEastAsia" w:hAnsiTheme="minorHAnsi" w:cstheme="minorBidi"/>
          <w:noProof/>
          <w:szCs w:val="22"/>
        </w:rPr>
      </w:pPr>
      <w:hyperlink w:anchor="_Toc454465542" w:history="1">
        <w:r w:rsidR="00324F9A" w:rsidRPr="00667C33">
          <w:rPr>
            <w:rStyle w:val="Hyperlink"/>
            <w:noProof/>
          </w:rPr>
          <w:t>Objet du document</w:t>
        </w:r>
        <w:r w:rsidR="00324F9A">
          <w:rPr>
            <w:noProof/>
            <w:webHidden/>
          </w:rPr>
          <w:tab/>
        </w:r>
        <w:r w:rsidR="00567BB5">
          <w:rPr>
            <w:noProof/>
            <w:webHidden/>
          </w:rPr>
          <w:fldChar w:fldCharType="begin"/>
        </w:r>
        <w:r w:rsidR="00324F9A">
          <w:rPr>
            <w:noProof/>
            <w:webHidden/>
          </w:rPr>
          <w:instrText xml:space="preserve"> PAGEREF _Toc454465542 \h </w:instrText>
        </w:r>
        <w:r w:rsidR="00567BB5">
          <w:rPr>
            <w:noProof/>
            <w:webHidden/>
          </w:rPr>
        </w:r>
        <w:r w:rsidR="00567BB5">
          <w:rPr>
            <w:noProof/>
            <w:webHidden/>
          </w:rPr>
          <w:fldChar w:fldCharType="separate"/>
        </w:r>
        <w:r>
          <w:rPr>
            <w:noProof/>
            <w:webHidden/>
          </w:rPr>
          <w:t>2</w:t>
        </w:r>
        <w:r w:rsidR="00567BB5">
          <w:rPr>
            <w:noProof/>
            <w:webHidden/>
          </w:rPr>
          <w:fldChar w:fldCharType="end"/>
        </w:r>
      </w:hyperlink>
    </w:p>
    <w:p w14:paraId="7FFC1A4F" w14:textId="77777777" w:rsidR="00324F9A" w:rsidRDefault="00CB4331">
      <w:pPr>
        <w:pStyle w:val="TOC2"/>
        <w:rPr>
          <w:rFonts w:asciiTheme="minorHAnsi" w:eastAsiaTheme="minorEastAsia" w:hAnsiTheme="minorHAnsi" w:cstheme="minorBidi"/>
          <w:noProof/>
          <w:szCs w:val="22"/>
        </w:rPr>
      </w:pPr>
      <w:hyperlink w:anchor="_Toc454465543" w:history="1">
        <w:r w:rsidR="00324F9A" w:rsidRPr="00667C33">
          <w:rPr>
            <w:rStyle w:val="Hyperlink"/>
            <w:noProof/>
          </w:rPr>
          <w:t>Donnée analysées</w:t>
        </w:r>
        <w:r w:rsidR="00324F9A">
          <w:rPr>
            <w:noProof/>
            <w:webHidden/>
          </w:rPr>
          <w:tab/>
        </w:r>
        <w:r w:rsidR="00567BB5">
          <w:rPr>
            <w:noProof/>
            <w:webHidden/>
          </w:rPr>
          <w:fldChar w:fldCharType="begin"/>
        </w:r>
        <w:r w:rsidR="00324F9A">
          <w:rPr>
            <w:noProof/>
            <w:webHidden/>
          </w:rPr>
          <w:instrText xml:space="preserve"> PAGEREF _Toc454465543 \h </w:instrText>
        </w:r>
        <w:r w:rsidR="00567BB5">
          <w:rPr>
            <w:noProof/>
            <w:webHidden/>
          </w:rPr>
        </w:r>
        <w:r w:rsidR="00567BB5">
          <w:rPr>
            <w:noProof/>
            <w:webHidden/>
          </w:rPr>
          <w:fldChar w:fldCharType="separate"/>
        </w:r>
        <w:r>
          <w:rPr>
            <w:noProof/>
            <w:webHidden/>
          </w:rPr>
          <w:t>2</w:t>
        </w:r>
        <w:r w:rsidR="00567BB5">
          <w:rPr>
            <w:noProof/>
            <w:webHidden/>
          </w:rPr>
          <w:fldChar w:fldCharType="end"/>
        </w:r>
      </w:hyperlink>
    </w:p>
    <w:p w14:paraId="7FFC1A50" w14:textId="77777777" w:rsidR="00324F9A" w:rsidRDefault="00CB4331">
      <w:pPr>
        <w:pStyle w:val="TOC2"/>
        <w:rPr>
          <w:rFonts w:asciiTheme="minorHAnsi" w:eastAsiaTheme="minorEastAsia" w:hAnsiTheme="minorHAnsi" w:cstheme="minorBidi"/>
          <w:noProof/>
          <w:szCs w:val="22"/>
        </w:rPr>
      </w:pPr>
      <w:hyperlink w:anchor="_Toc454465544" w:history="1">
        <w:r w:rsidR="00324F9A" w:rsidRPr="00667C33">
          <w:rPr>
            <w:rStyle w:val="Hyperlink"/>
            <w:noProof/>
          </w:rPr>
          <w:t>Bibliographie et sources de veille stratégique</w:t>
        </w:r>
        <w:r w:rsidR="00324F9A">
          <w:rPr>
            <w:noProof/>
            <w:webHidden/>
          </w:rPr>
          <w:tab/>
        </w:r>
        <w:r w:rsidR="00567BB5">
          <w:rPr>
            <w:noProof/>
            <w:webHidden/>
          </w:rPr>
          <w:fldChar w:fldCharType="begin"/>
        </w:r>
        <w:r w:rsidR="00324F9A">
          <w:rPr>
            <w:noProof/>
            <w:webHidden/>
          </w:rPr>
          <w:instrText xml:space="preserve"> PAGEREF _Toc454465544 \h </w:instrText>
        </w:r>
        <w:r w:rsidR="00567BB5">
          <w:rPr>
            <w:noProof/>
            <w:webHidden/>
          </w:rPr>
        </w:r>
        <w:r w:rsidR="00567BB5">
          <w:rPr>
            <w:noProof/>
            <w:webHidden/>
          </w:rPr>
          <w:fldChar w:fldCharType="separate"/>
        </w:r>
        <w:r>
          <w:rPr>
            <w:noProof/>
            <w:webHidden/>
          </w:rPr>
          <w:t>2</w:t>
        </w:r>
        <w:r w:rsidR="00567BB5">
          <w:rPr>
            <w:noProof/>
            <w:webHidden/>
          </w:rPr>
          <w:fldChar w:fldCharType="end"/>
        </w:r>
      </w:hyperlink>
    </w:p>
    <w:p w14:paraId="7FFC1A51" w14:textId="77777777" w:rsidR="00324F9A" w:rsidRDefault="00CB4331">
      <w:pPr>
        <w:pStyle w:val="TOC1"/>
        <w:rPr>
          <w:rFonts w:asciiTheme="minorHAnsi" w:eastAsiaTheme="minorEastAsia" w:hAnsiTheme="minorHAnsi" w:cstheme="minorBidi"/>
          <w:noProof/>
          <w:szCs w:val="22"/>
        </w:rPr>
      </w:pPr>
      <w:hyperlink w:anchor="_Toc454465545" w:history="1">
        <w:r w:rsidR="00324F9A" w:rsidRPr="00667C33">
          <w:rPr>
            <w:rStyle w:val="Hyperlink"/>
            <w:noProof/>
          </w:rPr>
          <w:t>Sommaire</w:t>
        </w:r>
        <w:r w:rsidR="00324F9A">
          <w:rPr>
            <w:noProof/>
            <w:webHidden/>
          </w:rPr>
          <w:tab/>
        </w:r>
        <w:r w:rsidR="00567BB5">
          <w:rPr>
            <w:noProof/>
            <w:webHidden/>
          </w:rPr>
          <w:fldChar w:fldCharType="begin"/>
        </w:r>
        <w:r w:rsidR="00324F9A">
          <w:rPr>
            <w:noProof/>
            <w:webHidden/>
          </w:rPr>
          <w:instrText xml:space="preserve"> PAGEREF _Toc454465545 \h </w:instrText>
        </w:r>
        <w:r w:rsidR="00567BB5">
          <w:rPr>
            <w:noProof/>
            <w:webHidden/>
          </w:rPr>
        </w:r>
        <w:r w:rsidR="00567BB5">
          <w:rPr>
            <w:noProof/>
            <w:webHidden/>
          </w:rPr>
          <w:fldChar w:fldCharType="separate"/>
        </w:r>
        <w:r>
          <w:rPr>
            <w:noProof/>
            <w:webHidden/>
          </w:rPr>
          <w:t>3</w:t>
        </w:r>
        <w:r w:rsidR="00567BB5">
          <w:rPr>
            <w:noProof/>
            <w:webHidden/>
          </w:rPr>
          <w:fldChar w:fldCharType="end"/>
        </w:r>
      </w:hyperlink>
    </w:p>
    <w:p w14:paraId="7FFC1A52" w14:textId="77777777" w:rsidR="00324F9A" w:rsidRDefault="00CB4331">
      <w:pPr>
        <w:pStyle w:val="TOC1"/>
        <w:rPr>
          <w:rFonts w:asciiTheme="minorHAnsi" w:eastAsiaTheme="minorEastAsia" w:hAnsiTheme="minorHAnsi" w:cstheme="minorBidi"/>
          <w:noProof/>
          <w:szCs w:val="22"/>
        </w:rPr>
      </w:pPr>
      <w:hyperlink w:anchor="_Toc454465546" w:history="1">
        <w:r w:rsidR="00324F9A" w:rsidRPr="00667C33">
          <w:rPr>
            <w:rStyle w:val="Hyperlink"/>
            <w:noProof/>
          </w:rPr>
          <w:t>Résumé exécutif</w:t>
        </w:r>
        <w:r w:rsidR="00324F9A">
          <w:rPr>
            <w:noProof/>
            <w:webHidden/>
          </w:rPr>
          <w:tab/>
        </w:r>
        <w:r w:rsidR="00567BB5">
          <w:rPr>
            <w:noProof/>
            <w:webHidden/>
          </w:rPr>
          <w:fldChar w:fldCharType="begin"/>
        </w:r>
        <w:r w:rsidR="00324F9A">
          <w:rPr>
            <w:noProof/>
            <w:webHidden/>
          </w:rPr>
          <w:instrText xml:space="preserve"> PAGEREF _Toc454465546 \h </w:instrText>
        </w:r>
        <w:r w:rsidR="00567BB5">
          <w:rPr>
            <w:noProof/>
            <w:webHidden/>
          </w:rPr>
        </w:r>
        <w:r w:rsidR="00567BB5">
          <w:rPr>
            <w:noProof/>
            <w:webHidden/>
          </w:rPr>
          <w:fldChar w:fldCharType="separate"/>
        </w:r>
        <w:r>
          <w:rPr>
            <w:noProof/>
            <w:webHidden/>
          </w:rPr>
          <w:t>6</w:t>
        </w:r>
        <w:r w:rsidR="00567BB5">
          <w:rPr>
            <w:noProof/>
            <w:webHidden/>
          </w:rPr>
          <w:fldChar w:fldCharType="end"/>
        </w:r>
      </w:hyperlink>
    </w:p>
    <w:p w14:paraId="7FFC1A53" w14:textId="77777777" w:rsidR="00324F9A" w:rsidRDefault="00CB4331">
      <w:pPr>
        <w:pStyle w:val="TOC2"/>
        <w:rPr>
          <w:rFonts w:asciiTheme="minorHAnsi" w:eastAsiaTheme="minorEastAsia" w:hAnsiTheme="minorHAnsi" w:cstheme="minorBidi"/>
          <w:noProof/>
          <w:szCs w:val="22"/>
        </w:rPr>
      </w:pPr>
      <w:hyperlink w:anchor="_Toc454465547" w:history="1">
        <w:r w:rsidR="00324F9A" w:rsidRPr="00667C33">
          <w:rPr>
            <w:rStyle w:val="Hyperlink"/>
            <w:noProof/>
          </w:rPr>
          <w:t>Cadre de l’analyse</w:t>
        </w:r>
        <w:r w:rsidR="00324F9A">
          <w:rPr>
            <w:noProof/>
            <w:webHidden/>
          </w:rPr>
          <w:tab/>
        </w:r>
        <w:r w:rsidR="00567BB5">
          <w:rPr>
            <w:noProof/>
            <w:webHidden/>
          </w:rPr>
          <w:fldChar w:fldCharType="begin"/>
        </w:r>
        <w:r w:rsidR="00324F9A">
          <w:rPr>
            <w:noProof/>
            <w:webHidden/>
          </w:rPr>
          <w:instrText xml:space="preserve"> PAGEREF _Toc454465547 \h </w:instrText>
        </w:r>
        <w:r w:rsidR="00567BB5">
          <w:rPr>
            <w:noProof/>
            <w:webHidden/>
          </w:rPr>
        </w:r>
        <w:r w:rsidR="00567BB5">
          <w:rPr>
            <w:noProof/>
            <w:webHidden/>
          </w:rPr>
          <w:fldChar w:fldCharType="separate"/>
        </w:r>
        <w:r>
          <w:rPr>
            <w:noProof/>
            <w:webHidden/>
          </w:rPr>
          <w:t>6</w:t>
        </w:r>
        <w:r w:rsidR="00567BB5">
          <w:rPr>
            <w:noProof/>
            <w:webHidden/>
          </w:rPr>
          <w:fldChar w:fldCharType="end"/>
        </w:r>
      </w:hyperlink>
    </w:p>
    <w:p w14:paraId="7FFC1A54" w14:textId="77777777" w:rsidR="00324F9A" w:rsidRDefault="00CB4331">
      <w:pPr>
        <w:pStyle w:val="TOC2"/>
        <w:rPr>
          <w:rFonts w:asciiTheme="minorHAnsi" w:eastAsiaTheme="minorEastAsia" w:hAnsiTheme="minorHAnsi" w:cstheme="minorBidi"/>
          <w:noProof/>
          <w:szCs w:val="22"/>
        </w:rPr>
      </w:pPr>
      <w:hyperlink w:anchor="_Toc454465548" w:history="1">
        <w:r w:rsidR="00324F9A" w:rsidRPr="00667C33">
          <w:rPr>
            <w:rStyle w:val="Hyperlink"/>
            <w:noProof/>
          </w:rPr>
          <w:t>La demande</w:t>
        </w:r>
        <w:r w:rsidR="00324F9A">
          <w:rPr>
            <w:noProof/>
            <w:webHidden/>
          </w:rPr>
          <w:tab/>
        </w:r>
        <w:r w:rsidR="00567BB5">
          <w:rPr>
            <w:noProof/>
            <w:webHidden/>
          </w:rPr>
          <w:fldChar w:fldCharType="begin"/>
        </w:r>
        <w:r w:rsidR="00324F9A">
          <w:rPr>
            <w:noProof/>
            <w:webHidden/>
          </w:rPr>
          <w:instrText xml:space="preserve"> PAGEREF _Toc454465548 \h </w:instrText>
        </w:r>
        <w:r w:rsidR="00567BB5">
          <w:rPr>
            <w:noProof/>
            <w:webHidden/>
          </w:rPr>
        </w:r>
        <w:r w:rsidR="00567BB5">
          <w:rPr>
            <w:noProof/>
            <w:webHidden/>
          </w:rPr>
          <w:fldChar w:fldCharType="separate"/>
        </w:r>
        <w:r>
          <w:rPr>
            <w:noProof/>
            <w:webHidden/>
          </w:rPr>
          <w:t>7</w:t>
        </w:r>
        <w:r w:rsidR="00567BB5">
          <w:rPr>
            <w:noProof/>
            <w:webHidden/>
          </w:rPr>
          <w:fldChar w:fldCharType="end"/>
        </w:r>
      </w:hyperlink>
    </w:p>
    <w:p w14:paraId="7FFC1A55" w14:textId="77777777" w:rsidR="00324F9A" w:rsidRDefault="00CB4331">
      <w:pPr>
        <w:pStyle w:val="TOC2"/>
        <w:rPr>
          <w:rFonts w:asciiTheme="minorHAnsi" w:eastAsiaTheme="minorEastAsia" w:hAnsiTheme="minorHAnsi" w:cstheme="minorBidi"/>
          <w:noProof/>
          <w:szCs w:val="22"/>
        </w:rPr>
      </w:pPr>
      <w:hyperlink w:anchor="_Toc454465549" w:history="1">
        <w:r w:rsidR="00324F9A" w:rsidRPr="00667C33">
          <w:rPr>
            <w:rStyle w:val="Hyperlink"/>
            <w:noProof/>
          </w:rPr>
          <w:t>Les structures</w:t>
        </w:r>
        <w:r w:rsidR="00324F9A">
          <w:rPr>
            <w:noProof/>
            <w:webHidden/>
          </w:rPr>
          <w:tab/>
        </w:r>
        <w:r w:rsidR="00567BB5">
          <w:rPr>
            <w:noProof/>
            <w:webHidden/>
          </w:rPr>
          <w:fldChar w:fldCharType="begin"/>
        </w:r>
        <w:r w:rsidR="00324F9A">
          <w:rPr>
            <w:noProof/>
            <w:webHidden/>
          </w:rPr>
          <w:instrText xml:space="preserve"> PAGEREF _Toc454465549 \h </w:instrText>
        </w:r>
        <w:r w:rsidR="00567BB5">
          <w:rPr>
            <w:noProof/>
            <w:webHidden/>
          </w:rPr>
        </w:r>
        <w:r w:rsidR="00567BB5">
          <w:rPr>
            <w:noProof/>
            <w:webHidden/>
          </w:rPr>
          <w:fldChar w:fldCharType="separate"/>
        </w:r>
        <w:r>
          <w:rPr>
            <w:noProof/>
            <w:webHidden/>
          </w:rPr>
          <w:t>8</w:t>
        </w:r>
        <w:r w:rsidR="00567BB5">
          <w:rPr>
            <w:noProof/>
            <w:webHidden/>
          </w:rPr>
          <w:fldChar w:fldCharType="end"/>
        </w:r>
      </w:hyperlink>
    </w:p>
    <w:p w14:paraId="7FFC1A56" w14:textId="77777777" w:rsidR="00324F9A" w:rsidRDefault="00CB4331">
      <w:pPr>
        <w:pStyle w:val="TOC2"/>
        <w:rPr>
          <w:rFonts w:asciiTheme="minorHAnsi" w:eastAsiaTheme="minorEastAsia" w:hAnsiTheme="minorHAnsi" w:cstheme="minorBidi"/>
          <w:noProof/>
          <w:szCs w:val="22"/>
        </w:rPr>
      </w:pPr>
      <w:hyperlink w:anchor="_Toc454465550" w:history="1">
        <w:r w:rsidR="00324F9A" w:rsidRPr="00667C33">
          <w:rPr>
            <w:rStyle w:val="Hyperlink"/>
            <w:noProof/>
          </w:rPr>
          <w:t>La concurrence</w:t>
        </w:r>
        <w:r w:rsidR="00324F9A">
          <w:rPr>
            <w:noProof/>
            <w:webHidden/>
          </w:rPr>
          <w:tab/>
        </w:r>
        <w:r w:rsidR="00567BB5">
          <w:rPr>
            <w:noProof/>
            <w:webHidden/>
          </w:rPr>
          <w:fldChar w:fldCharType="begin"/>
        </w:r>
        <w:r w:rsidR="00324F9A">
          <w:rPr>
            <w:noProof/>
            <w:webHidden/>
          </w:rPr>
          <w:instrText xml:space="preserve"> PAGEREF _Toc454465550 \h </w:instrText>
        </w:r>
        <w:r w:rsidR="00567BB5">
          <w:rPr>
            <w:noProof/>
            <w:webHidden/>
          </w:rPr>
        </w:r>
        <w:r w:rsidR="00567BB5">
          <w:rPr>
            <w:noProof/>
            <w:webHidden/>
          </w:rPr>
          <w:fldChar w:fldCharType="separate"/>
        </w:r>
        <w:r>
          <w:rPr>
            <w:noProof/>
            <w:webHidden/>
          </w:rPr>
          <w:t>9</w:t>
        </w:r>
        <w:r w:rsidR="00567BB5">
          <w:rPr>
            <w:noProof/>
            <w:webHidden/>
          </w:rPr>
          <w:fldChar w:fldCharType="end"/>
        </w:r>
      </w:hyperlink>
    </w:p>
    <w:p w14:paraId="7FFC1A57" w14:textId="77777777" w:rsidR="00324F9A" w:rsidRDefault="00CB4331">
      <w:pPr>
        <w:pStyle w:val="TOC1"/>
        <w:rPr>
          <w:rFonts w:asciiTheme="minorHAnsi" w:eastAsiaTheme="minorEastAsia" w:hAnsiTheme="minorHAnsi" w:cstheme="minorBidi"/>
          <w:noProof/>
          <w:szCs w:val="22"/>
        </w:rPr>
      </w:pPr>
      <w:hyperlink w:anchor="_Toc454465551" w:history="1">
        <w:r w:rsidR="00324F9A" w:rsidRPr="00667C33">
          <w:rPr>
            <w:rStyle w:val="Hyperlink"/>
            <w:noProof/>
          </w:rPr>
          <w:t>1</w:t>
        </w:r>
        <w:r w:rsidR="00324F9A">
          <w:rPr>
            <w:rFonts w:asciiTheme="minorHAnsi" w:eastAsiaTheme="minorEastAsia" w:hAnsiTheme="minorHAnsi" w:cstheme="minorBidi"/>
            <w:noProof/>
            <w:szCs w:val="22"/>
          </w:rPr>
          <w:tab/>
        </w:r>
        <w:r w:rsidR="00324F9A" w:rsidRPr="00667C33">
          <w:rPr>
            <w:rStyle w:val="Hyperlink"/>
            <w:noProof/>
          </w:rPr>
          <w:t>Définition de l’activité</w:t>
        </w:r>
        <w:r w:rsidR="00324F9A">
          <w:rPr>
            <w:noProof/>
            <w:webHidden/>
          </w:rPr>
          <w:tab/>
        </w:r>
        <w:r w:rsidR="00567BB5">
          <w:rPr>
            <w:noProof/>
            <w:webHidden/>
          </w:rPr>
          <w:fldChar w:fldCharType="begin"/>
        </w:r>
        <w:r w:rsidR="00324F9A">
          <w:rPr>
            <w:noProof/>
            <w:webHidden/>
          </w:rPr>
          <w:instrText xml:space="preserve"> PAGEREF _Toc454465551 \h </w:instrText>
        </w:r>
        <w:r w:rsidR="00567BB5">
          <w:rPr>
            <w:noProof/>
            <w:webHidden/>
          </w:rPr>
        </w:r>
        <w:r w:rsidR="00567BB5">
          <w:rPr>
            <w:noProof/>
            <w:webHidden/>
          </w:rPr>
          <w:fldChar w:fldCharType="separate"/>
        </w:r>
        <w:r>
          <w:rPr>
            <w:noProof/>
            <w:webHidden/>
          </w:rPr>
          <w:t>10</w:t>
        </w:r>
        <w:r w:rsidR="00567BB5">
          <w:rPr>
            <w:noProof/>
            <w:webHidden/>
          </w:rPr>
          <w:fldChar w:fldCharType="end"/>
        </w:r>
      </w:hyperlink>
    </w:p>
    <w:p w14:paraId="7FFC1A58" w14:textId="77777777" w:rsidR="00324F9A" w:rsidRDefault="00CB4331">
      <w:pPr>
        <w:pStyle w:val="TOC2"/>
        <w:rPr>
          <w:rFonts w:asciiTheme="minorHAnsi" w:eastAsiaTheme="minorEastAsia" w:hAnsiTheme="minorHAnsi" w:cstheme="minorBidi"/>
          <w:noProof/>
          <w:szCs w:val="22"/>
        </w:rPr>
      </w:pPr>
      <w:hyperlink w:anchor="_Toc454465552" w:history="1">
        <w:r w:rsidR="00324F9A" w:rsidRPr="00667C33">
          <w:rPr>
            <w:rStyle w:val="Hyperlink"/>
            <w:noProof/>
          </w:rPr>
          <w:t>1.1</w:t>
        </w:r>
        <w:r w:rsidR="00324F9A">
          <w:rPr>
            <w:rFonts w:asciiTheme="minorHAnsi" w:eastAsiaTheme="minorEastAsia" w:hAnsiTheme="minorHAnsi" w:cstheme="minorBidi"/>
            <w:noProof/>
            <w:szCs w:val="22"/>
          </w:rPr>
          <w:tab/>
        </w:r>
        <w:r w:rsidR="00324F9A" w:rsidRPr="00667C33">
          <w:rPr>
            <w:rStyle w:val="Hyperlink"/>
            <w:noProof/>
          </w:rPr>
          <w:t>Définition du secteur</w:t>
        </w:r>
        <w:r w:rsidR="00324F9A">
          <w:rPr>
            <w:noProof/>
            <w:webHidden/>
          </w:rPr>
          <w:tab/>
        </w:r>
        <w:r w:rsidR="00567BB5">
          <w:rPr>
            <w:noProof/>
            <w:webHidden/>
          </w:rPr>
          <w:fldChar w:fldCharType="begin"/>
        </w:r>
        <w:r w:rsidR="00324F9A">
          <w:rPr>
            <w:noProof/>
            <w:webHidden/>
          </w:rPr>
          <w:instrText xml:space="preserve"> PAGEREF _Toc454465552 \h </w:instrText>
        </w:r>
        <w:r w:rsidR="00567BB5">
          <w:rPr>
            <w:noProof/>
            <w:webHidden/>
          </w:rPr>
        </w:r>
        <w:r w:rsidR="00567BB5">
          <w:rPr>
            <w:noProof/>
            <w:webHidden/>
          </w:rPr>
          <w:fldChar w:fldCharType="separate"/>
        </w:r>
        <w:r>
          <w:rPr>
            <w:noProof/>
            <w:webHidden/>
          </w:rPr>
          <w:t>10</w:t>
        </w:r>
        <w:r w:rsidR="00567BB5">
          <w:rPr>
            <w:noProof/>
            <w:webHidden/>
          </w:rPr>
          <w:fldChar w:fldCharType="end"/>
        </w:r>
      </w:hyperlink>
    </w:p>
    <w:p w14:paraId="7FFC1A59" w14:textId="77777777" w:rsidR="00324F9A" w:rsidRDefault="00CB4331">
      <w:pPr>
        <w:pStyle w:val="TOC2"/>
        <w:rPr>
          <w:rFonts w:asciiTheme="minorHAnsi" w:eastAsiaTheme="minorEastAsia" w:hAnsiTheme="minorHAnsi" w:cstheme="minorBidi"/>
          <w:noProof/>
          <w:szCs w:val="22"/>
        </w:rPr>
      </w:pPr>
      <w:hyperlink w:anchor="_Toc454465553" w:history="1">
        <w:r w:rsidR="00324F9A" w:rsidRPr="00667C33">
          <w:rPr>
            <w:rStyle w:val="Hyperlink"/>
            <w:noProof/>
          </w:rPr>
          <w:t>1.2</w:t>
        </w:r>
        <w:r w:rsidR="00324F9A">
          <w:rPr>
            <w:rFonts w:asciiTheme="minorHAnsi" w:eastAsiaTheme="minorEastAsia" w:hAnsiTheme="minorHAnsi" w:cstheme="minorBidi"/>
            <w:noProof/>
            <w:szCs w:val="22"/>
          </w:rPr>
          <w:tab/>
        </w:r>
        <w:r w:rsidR="00324F9A" w:rsidRPr="00667C33">
          <w:rPr>
            <w:rStyle w:val="Hyperlink"/>
            <w:noProof/>
          </w:rPr>
          <w:t>Chiffres clés</w:t>
        </w:r>
        <w:r w:rsidR="00324F9A">
          <w:rPr>
            <w:noProof/>
            <w:webHidden/>
          </w:rPr>
          <w:tab/>
        </w:r>
        <w:r w:rsidR="00567BB5">
          <w:rPr>
            <w:noProof/>
            <w:webHidden/>
          </w:rPr>
          <w:fldChar w:fldCharType="begin"/>
        </w:r>
        <w:r w:rsidR="00324F9A">
          <w:rPr>
            <w:noProof/>
            <w:webHidden/>
          </w:rPr>
          <w:instrText xml:space="preserve"> PAGEREF _Toc454465553 \h </w:instrText>
        </w:r>
        <w:r w:rsidR="00567BB5">
          <w:rPr>
            <w:noProof/>
            <w:webHidden/>
          </w:rPr>
        </w:r>
        <w:r w:rsidR="00567BB5">
          <w:rPr>
            <w:noProof/>
            <w:webHidden/>
          </w:rPr>
          <w:fldChar w:fldCharType="separate"/>
        </w:r>
        <w:r>
          <w:rPr>
            <w:noProof/>
            <w:webHidden/>
          </w:rPr>
          <w:t>11</w:t>
        </w:r>
        <w:r w:rsidR="00567BB5">
          <w:rPr>
            <w:noProof/>
            <w:webHidden/>
          </w:rPr>
          <w:fldChar w:fldCharType="end"/>
        </w:r>
      </w:hyperlink>
    </w:p>
    <w:p w14:paraId="7FFC1A5A" w14:textId="77777777" w:rsidR="00324F9A" w:rsidRDefault="00CB4331">
      <w:pPr>
        <w:pStyle w:val="TOC1"/>
        <w:rPr>
          <w:rFonts w:asciiTheme="minorHAnsi" w:eastAsiaTheme="minorEastAsia" w:hAnsiTheme="minorHAnsi" w:cstheme="minorBidi"/>
          <w:noProof/>
          <w:szCs w:val="22"/>
        </w:rPr>
      </w:pPr>
      <w:hyperlink w:anchor="_Toc454465554" w:history="1">
        <w:r w:rsidR="00324F9A" w:rsidRPr="00667C33">
          <w:rPr>
            <w:rStyle w:val="Hyperlink"/>
            <w:noProof/>
          </w:rPr>
          <w:t>2</w:t>
        </w:r>
        <w:r w:rsidR="00324F9A">
          <w:rPr>
            <w:rFonts w:asciiTheme="minorHAnsi" w:eastAsiaTheme="minorEastAsia" w:hAnsiTheme="minorHAnsi" w:cstheme="minorBidi"/>
            <w:noProof/>
            <w:szCs w:val="22"/>
          </w:rPr>
          <w:tab/>
        </w:r>
        <w:r w:rsidR="00324F9A" w:rsidRPr="00667C33">
          <w:rPr>
            <w:rStyle w:val="Hyperlink"/>
            <w:noProof/>
          </w:rPr>
          <w:t>Principaux acteurs de la profession</w:t>
        </w:r>
        <w:r w:rsidR="00324F9A">
          <w:rPr>
            <w:noProof/>
            <w:webHidden/>
          </w:rPr>
          <w:tab/>
        </w:r>
        <w:r w:rsidR="00567BB5">
          <w:rPr>
            <w:noProof/>
            <w:webHidden/>
          </w:rPr>
          <w:fldChar w:fldCharType="begin"/>
        </w:r>
        <w:r w:rsidR="00324F9A">
          <w:rPr>
            <w:noProof/>
            <w:webHidden/>
          </w:rPr>
          <w:instrText xml:space="preserve"> PAGEREF _Toc454465554 \h </w:instrText>
        </w:r>
        <w:r w:rsidR="00567BB5">
          <w:rPr>
            <w:noProof/>
            <w:webHidden/>
          </w:rPr>
        </w:r>
        <w:r w:rsidR="00567BB5">
          <w:rPr>
            <w:noProof/>
            <w:webHidden/>
          </w:rPr>
          <w:fldChar w:fldCharType="separate"/>
        </w:r>
        <w:r>
          <w:rPr>
            <w:noProof/>
            <w:webHidden/>
          </w:rPr>
          <w:t>12</w:t>
        </w:r>
        <w:r w:rsidR="00567BB5">
          <w:rPr>
            <w:noProof/>
            <w:webHidden/>
          </w:rPr>
          <w:fldChar w:fldCharType="end"/>
        </w:r>
      </w:hyperlink>
    </w:p>
    <w:p w14:paraId="7FFC1A5B" w14:textId="77777777" w:rsidR="00324F9A" w:rsidRDefault="00CB4331">
      <w:pPr>
        <w:pStyle w:val="TOC2"/>
        <w:rPr>
          <w:rFonts w:asciiTheme="minorHAnsi" w:eastAsiaTheme="minorEastAsia" w:hAnsiTheme="minorHAnsi" w:cstheme="minorBidi"/>
          <w:noProof/>
          <w:szCs w:val="22"/>
        </w:rPr>
      </w:pPr>
      <w:hyperlink w:anchor="_Toc454465555" w:history="1">
        <w:r w:rsidR="00324F9A" w:rsidRPr="00667C33">
          <w:rPr>
            <w:rStyle w:val="Hyperlink"/>
            <w:noProof/>
          </w:rPr>
          <w:t>2.1</w:t>
        </w:r>
        <w:r w:rsidR="00324F9A">
          <w:rPr>
            <w:rFonts w:asciiTheme="minorHAnsi" w:eastAsiaTheme="minorEastAsia" w:hAnsiTheme="minorHAnsi" w:cstheme="minorBidi"/>
            <w:noProof/>
            <w:szCs w:val="22"/>
          </w:rPr>
          <w:tab/>
        </w:r>
        <w:r w:rsidR="00324F9A" w:rsidRPr="00667C33">
          <w:rPr>
            <w:rStyle w:val="Hyperlink"/>
            <w:noProof/>
          </w:rPr>
          <w:t>Les principales entreprises du secteur</w:t>
        </w:r>
        <w:r w:rsidR="00324F9A">
          <w:rPr>
            <w:noProof/>
            <w:webHidden/>
          </w:rPr>
          <w:tab/>
        </w:r>
        <w:r w:rsidR="00567BB5">
          <w:rPr>
            <w:noProof/>
            <w:webHidden/>
          </w:rPr>
          <w:fldChar w:fldCharType="begin"/>
        </w:r>
        <w:r w:rsidR="00324F9A">
          <w:rPr>
            <w:noProof/>
            <w:webHidden/>
          </w:rPr>
          <w:instrText xml:space="preserve"> PAGEREF _Toc454465555 \h </w:instrText>
        </w:r>
        <w:r w:rsidR="00567BB5">
          <w:rPr>
            <w:noProof/>
            <w:webHidden/>
          </w:rPr>
        </w:r>
        <w:r w:rsidR="00567BB5">
          <w:rPr>
            <w:noProof/>
            <w:webHidden/>
          </w:rPr>
          <w:fldChar w:fldCharType="separate"/>
        </w:r>
        <w:r>
          <w:rPr>
            <w:noProof/>
            <w:webHidden/>
          </w:rPr>
          <w:t>12</w:t>
        </w:r>
        <w:r w:rsidR="00567BB5">
          <w:rPr>
            <w:noProof/>
            <w:webHidden/>
          </w:rPr>
          <w:fldChar w:fldCharType="end"/>
        </w:r>
      </w:hyperlink>
    </w:p>
    <w:p w14:paraId="7FFC1A5C" w14:textId="77777777" w:rsidR="00324F9A" w:rsidRDefault="00CB4331">
      <w:pPr>
        <w:pStyle w:val="TOC2"/>
        <w:rPr>
          <w:rFonts w:asciiTheme="minorHAnsi" w:eastAsiaTheme="minorEastAsia" w:hAnsiTheme="minorHAnsi" w:cstheme="minorBidi"/>
          <w:noProof/>
          <w:szCs w:val="22"/>
        </w:rPr>
      </w:pPr>
      <w:hyperlink w:anchor="_Toc454465556" w:history="1">
        <w:r w:rsidR="00324F9A" w:rsidRPr="00667C33">
          <w:rPr>
            <w:rStyle w:val="Hyperlink"/>
            <w:noProof/>
          </w:rPr>
          <w:t>2.2</w:t>
        </w:r>
        <w:r w:rsidR="00324F9A">
          <w:rPr>
            <w:rFonts w:asciiTheme="minorHAnsi" w:eastAsiaTheme="minorEastAsia" w:hAnsiTheme="minorHAnsi" w:cstheme="minorBidi"/>
            <w:noProof/>
            <w:szCs w:val="22"/>
          </w:rPr>
          <w:tab/>
        </w:r>
        <w:r w:rsidR="00324F9A" w:rsidRPr="00667C33">
          <w:rPr>
            <w:rStyle w:val="Hyperlink"/>
            <w:noProof/>
          </w:rPr>
          <w:t>Filière</w:t>
        </w:r>
        <w:r w:rsidR="00324F9A">
          <w:rPr>
            <w:noProof/>
            <w:webHidden/>
          </w:rPr>
          <w:tab/>
        </w:r>
        <w:r w:rsidR="00567BB5">
          <w:rPr>
            <w:noProof/>
            <w:webHidden/>
          </w:rPr>
          <w:fldChar w:fldCharType="begin"/>
        </w:r>
        <w:r w:rsidR="00324F9A">
          <w:rPr>
            <w:noProof/>
            <w:webHidden/>
          </w:rPr>
          <w:instrText xml:space="preserve"> PAGEREF _Toc454465556 \h </w:instrText>
        </w:r>
        <w:r w:rsidR="00567BB5">
          <w:rPr>
            <w:noProof/>
            <w:webHidden/>
          </w:rPr>
        </w:r>
        <w:r w:rsidR="00567BB5">
          <w:rPr>
            <w:noProof/>
            <w:webHidden/>
          </w:rPr>
          <w:fldChar w:fldCharType="separate"/>
        </w:r>
        <w:r>
          <w:rPr>
            <w:noProof/>
            <w:webHidden/>
          </w:rPr>
          <w:t>14</w:t>
        </w:r>
        <w:r w:rsidR="00567BB5">
          <w:rPr>
            <w:noProof/>
            <w:webHidden/>
          </w:rPr>
          <w:fldChar w:fldCharType="end"/>
        </w:r>
      </w:hyperlink>
    </w:p>
    <w:p w14:paraId="7FFC1A5D" w14:textId="77777777" w:rsidR="00324F9A" w:rsidRDefault="00CB4331">
      <w:pPr>
        <w:pStyle w:val="TOC3"/>
        <w:rPr>
          <w:rFonts w:asciiTheme="minorHAnsi" w:eastAsiaTheme="minorEastAsia" w:hAnsiTheme="minorHAnsi" w:cstheme="minorBidi"/>
          <w:noProof/>
          <w:szCs w:val="22"/>
        </w:rPr>
      </w:pPr>
      <w:hyperlink w:anchor="_Toc454465557" w:history="1">
        <w:r w:rsidR="00324F9A" w:rsidRPr="00667C33">
          <w:rPr>
            <w:rStyle w:val="Hyperlink"/>
            <w:noProof/>
          </w:rPr>
          <w:t>2.2.1</w:t>
        </w:r>
        <w:r w:rsidR="00324F9A">
          <w:rPr>
            <w:rFonts w:asciiTheme="minorHAnsi" w:eastAsiaTheme="minorEastAsia" w:hAnsiTheme="minorHAnsi" w:cstheme="minorBidi"/>
            <w:noProof/>
            <w:szCs w:val="22"/>
          </w:rPr>
          <w:tab/>
        </w:r>
        <w:r w:rsidR="00324F9A" w:rsidRPr="00667C33">
          <w:rPr>
            <w:rStyle w:val="Hyperlink"/>
            <w:noProof/>
          </w:rPr>
          <w:t>Secteurs amont</w:t>
        </w:r>
        <w:r w:rsidR="00324F9A">
          <w:rPr>
            <w:noProof/>
            <w:webHidden/>
          </w:rPr>
          <w:tab/>
        </w:r>
        <w:r w:rsidR="00567BB5">
          <w:rPr>
            <w:noProof/>
            <w:webHidden/>
          </w:rPr>
          <w:fldChar w:fldCharType="begin"/>
        </w:r>
        <w:r w:rsidR="00324F9A">
          <w:rPr>
            <w:noProof/>
            <w:webHidden/>
          </w:rPr>
          <w:instrText xml:space="preserve"> PAGEREF _Toc454465557 \h </w:instrText>
        </w:r>
        <w:r w:rsidR="00567BB5">
          <w:rPr>
            <w:noProof/>
            <w:webHidden/>
          </w:rPr>
        </w:r>
        <w:r w:rsidR="00567BB5">
          <w:rPr>
            <w:noProof/>
            <w:webHidden/>
          </w:rPr>
          <w:fldChar w:fldCharType="separate"/>
        </w:r>
        <w:r>
          <w:rPr>
            <w:noProof/>
            <w:webHidden/>
          </w:rPr>
          <w:t>14</w:t>
        </w:r>
        <w:r w:rsidR="00567BB5">
          <w:rPr>
            <w:noProof/>
            <w:webHidden/>
          </w:rPr>
          <w:fldChar w:fldCharType="end"/>
        </w:r>
      </w:hyperlink>
    </w:p>
    <w:p w14:paraId="7FFC1A5E" w14:textId="77777777" w:rsidR="00324F9A" w:rsidRDefault="00CB4331">
      <w:pPr>
        <w:pStyle w:val="TOC3"/>
        <w:rPr>
          <w:rFonts w:asciiTheme="minorHAnsi" w:eastAsiaTheme="minorEastAsia" w:hAnsiTheme="minorHAnsi" w:cstheme="minorBidi"/>
          <w:noProof/>
          <w:szCs w:val="22"/>
        </w:rPr>
      </w:pPr>
      <w:hyperlink w:anchor="_Toc454465558" w:history="1">
        <w:r w:rsidR="00324F9A" w:rsidRPr="00667C33">
          <w:rPr>
            <w:rStyle w:val="Hyperlink"/>
            <w:noProof/>
          </w:rPr>
          <w:t>2.2.2</w:t>
        </w:r>
        <w:r w:rsidR="00324F9A">
          <w:rPr>
            <w:rFonts w:asciiTheme="minorHAnsi" w:eastAsiaTheme="minorEastAsia" w:hAnsiTheme="minorHAnsi" w:cstheme="minorBidi"/>
            <w:noProof/>
            <w:szCs w:val="22"/>
          </w:rPr>
          <w:tab/>
        </w:r>
        <w:r w:rsidR="00324F9A" w:rsidRPr="00667C33">
          <w:rPr>
            <w:rStyle w:val="Hyperlink"/>
            <w:noProof/>
          </w:rPr>
          <w:t>Secteurs aval</w:t>
        </w:r>
        <w:r w:rsidR="00324F9A">
          <w:rPr>
            <w:noProof/>
            <w:webHidden/>
          </w:rPr>
          <w:tab/>
        </w:r>
        <w:r w:rsidR="00567BB5">
          <w:rPr>
            <w:noProof/>
            <w:webHidden/>
          </w:rPr>
          <w:fldChar w:fldCharType="begin"/>
        </w:r>
        <w:r w:rsidR="00324F9A">
          <w:rPr>
            <w:noProof/>
            <w:webHidden/>
          </w:rPr>
          <w:instrText xml:space="preserve"> PAGEREF _Toc454465558 \h </w:instrText>
        </w:r>
        <w:r w:rsidR="00567BB5">
          <w:rPr>
            <w:noProof/>
            <w:webHidden/>
          </w:rPr>
        </w:r>
        <w:r w:rsidR="00567BB5">
          <w:rPr>
            <w:noProof/>
            <w:webHidden/>
          </w:rPr>
          <w:fldChar w:fldCharType="separate"/>
        </w:r>
        <w:r>
          <w:rPr>
            <w:noProof/>
            <w:webHidden/>
          </w:rPr>
          <w:t>14</w:t>
        </w:r>
        <w:r w:rsidR="00567BB5">
          <w:rPr>
            <w:noProof/>
            <w:webHidden/>
          </w:rPr>
          <w:fldChar w:fldCharType="end"/>
        </w:r>
      </w:hyperlink>
    </w:p>
    <w:p w14:paraId="7FFC1A5F" w14:textId="77777777" w:rsidR="00324F9A" w:rsidRDefault="00CB4331">
      <w:pPr>
        <w:pStyle w:val="TOC1"/>
        <w:rPr>
          <w:rFonts w:asciiTheme="minorHAnsi" w:eastAsiaTheme="minorEastAsia" w:hAnsiTheme="minorHAnsi" w:cstheme="minorBidi"/>
          <w:noProof/>
          <w:szCs w:val="22"/>
        </w:rPr>
      </w:pPr>
      <w:hyperlink w:anchor="_Toc454465559" w:history="1">
        <w:r w:rsidR="00324F9A" w:rsidRPr="00667C33">
          <w:rPr>
            <w:rStyle w:val="Hyperlink"/>
            <w:noProof/>
          </w:rPr>
          <w:t>3</w:t>
        </w:r>
        <w:r w:rsidR="00324F9A">
          <w:rPr>
            <w:rFonts w:asciiTheme="minorHAnsi" w:eastAsiaTheme="minorEastAsia" w:hAnsiTheme="minorHAnsi" w:cstheme="minorBidi"/>
            <w:noProof/>
            <w:szCs w:val="22"/>
          </w:rPr>
          <w:tab/>
        </w:r>
        <w:r w:rsidR="00324F9A" w:rsidRPr="00667C33">
          <w:rPr>
            <w:rStyle w:val="Hyperlink"/>
            <w:noProof/>
          </w:rPr>
          <w:t>Production de service</w:t>
        </w:r>
        <w:r w:rsidR="00324F9A">
          <w:rPr>
            <w:noProof/>
            <w:webHidden/>
          </w:rPr>
          <w:tab/>
        </w:r>
        <w:r w:rsidR="00567BB5">
          <w:rPr>
            <w:noProof/>
            <w:webHidden/>
          </w:rPr>
          <w:fldChar w:fldCharType="begin"/>
        </w:r>
        <w:r w:rsidR="00324F9A">
          <w:rPr>
            <w:noProof/>
            <w:webHidden/>
          </w:rPr>
          <w:instrText xml:space="preserve"> PAGEREF _Toc454465559 \h </w:instrText>
        </w:r>
        <w:r w:rsidR="00567BB5">
          <w:rPr>
            <w:noProof/>
            <w:webHidden/>
          </w:rPr>
        </w:r>
        <w:r w:rsidR="00567BB5">
          <w:rPr>
            <w:noProof/>
            <w:webHidden/>
          </w:rPr>
          <w:fldChar w:fldCharType="separate"/>
        </w:r>
        <w:r>
          <w:rPr>
            <w:noProof/>
            <w:webHidden/>
          </w:rPr>
          <w:t>15</w:t>
        </w:r>
        <w:r w:rsidR="00567BB5">
          <w:rPr>
            <w:noProof/>
            <w:webHidden/>
          </w:rPr>
          <w:fldChar w:fldCharType="end"/>
        </w:r>
      </w:hyperlink>
    </w:p>
    <w:p w14:paraId="7FFC1A60" w14:textId="77777777" w:rsidR="00324F9A" w:rsidRDefault="00CB4331">
      <w:pPr>
        <w:pStyle w:val="TOC1"/>
        <w:rPr>
          <w:rFonts w:asciiTheme="minorHAnsi" w:eastAsiaTheme="minorEastAsia" w:hAnsiTheme="minorHAnsi" w:cstheme="minorBidi"/>
          <w:noProof/>
          <w:szCs w:val="22"/>
        </w:rPr>
      </w:pPr>
      <w:hyperlink w:anchor="_Toc454465560" w:history="1">
        <w:r w:rsidR="00324F9A" w:rsidRPr="00667C33">
          <w:rPr>
            <w:rStyle w:val="Hyperlink"/>
            <w:noProof/>
          </w:rPr>
          <w:t>4</w:t>
        </w:r>
        <w:r w:rsidR="00324F9A">
          <w:rPr>
            <w:rFonts w:asciiTheme="minorHAnsi" w:eastAsiaTheme="minorEastAsia" w:hAnsiTheme="minorHAnsi" w:cstheme="minorBidi"/>
            <w:noProof/>
            <w:szCs w:val="22"/>
          </w:rPr>
          <w:tab/>
        </w:r>
        <w:r w:rsidR="00324F9A" w:rsidRPr="00667C33">
          <w:rPr>
            <w:rStyle w:val="Hyperlink"/>
            <w:noProof/>
          </w:rPr>
          <w:t>Actualité de la profession</w:t>
        </w:r>
        <w:r w:rsidR="00324F9A">
          <w:rPr>
            <w:noProof/>
            <w:webHidden/>
          </w:rPr>
          <w:tab/>
        </w:r>
        <w:r w:rsidR="00567BB5">
          <w:rPr>
            <w:noProof/>
            <w:webHidden/>
          </w:rPr>
          <w:fldChar w:fldCharType="begin"/>
        </w:r>
        <w:r w:rsidR="00324F9A">
          <w:rPr>
            <w:noProof/>
            <w:webHidden/>
          </w:rPr>
          <w:instrText xml:space="preserve"> PAGEREF _Toc454465560 \h </w:instrText>
        </w:r>
        <w:r w:rsidR="00567BB5">
          <w:rPr>
            <w:noProof/>
            <w:webHidden/>
          </w:rPr>
        </w:r>
        <w:r w:rsidR="00567BB5">
          <w:rPr>
            <w:noProof/>
            <w:webHidden/>
          </w:rPr>
          <w:fldChar w:fldCharType="separate"/>
        </w:r>
        <w:r>
          <w:rPr>
            <w:noProof/>
            <w:webHidden/>
          </w:rPr>
          <w:t>16</w:t>
        </w:r>
        <w:r w:rsidR="00567BB5">
          <w:rPr>
            <w:noProof/>
            <w:webHidden/>
          </w:rPr>
          <w:fldChar w:fldCharType="end"/>
        </w:r>
      </w:hyperlink>
    </w:p>
    <w:p w14:paraId="7FFC1A61" w14:textId="77777777" w:rsidR="00324F9A" w:rsidRDefault="00CB4331">
      <w:pPr>
        <w:pStyle w:val="TOC2"/>
        <w:rPr>
          <w:rFonts w:asciiTheme="minorHAnsi" w:eastAsiaTheme="minorEastAsia" w:hAnsiTheme="minorHAnsi" w:cstheme="minorBidi"/>
          <w:noProof/>
          <w:szCs w:val="22"/>
        </w:rPr>
      </w:pPr>
      <w:hyperlink w:anchor="_Toc454465561" w:history="1">
        <w:r w:rsidR="00324F9A" w:rsidRPr="00667C33">
          <w:rPr>
            <w:rStyle w:val="Hyperlink"/>
            <w:noProof/>
          </w:rPr>
          <w:t>4.1</w:t>
        </w:r>
        <w:r w:rsidR="00324F9A">
          <w:rPr>
            <w:rFonts w:asciiTheme="minorHAnsi" w:eastAsiaTheme="minorEastAsia" w:hAnsiTheme="minorHAnsi" w:cstheme="minorBidi"/>
            <w:noProof/>
            <w:szCs w:val="22"/>
          </w:rPr>
          <w:tab/>
        </w:r>
        <w:r w:rsidR="00324F9A" w:rsidRPr="00667C33">
          <w:rPr>
            <w:rStyle w:val="Hyperlink"/>
            <w:noProof/>
          </w:rPr>
          <w:t>Les fusions acquisitions</w:t>
        </w:r>
        <w:r w:rsidR="00324F9A">
          <w:rPr>
            <w:noProof/>
            <w:webHidden/>
          </w:rPr>
          <w:tab/>
        </w:r>
        <w:r w:rsidR="00567BB5">
          <w:rPr>
            <w:noProof/>
            <w:webHidden/>
          </w:rPr>
          <w:fldChar w:fldCharType="begin"/>
        </w:r>
        <w:r w:rsidR="00324F9A">
          <w:rPr>
            <w:noProof/>
            <w:webHidden/>
          </w:rPr>
          <w:instrText xml:space="preserve"> PAGEREF _Toc454465561 \h </w:instrText>
        </w:r>
        <w:r w:rsidR="00567BB5">
          <w:rPr>
            <w:noProof/>
            <w:webHidden/>
          </w:rPr>
        </w:r>
        <w:r w:rsidR="00567BB5">
          <w:rPr>
            <w:noProof/>
            <w:webHidden/>
          </w:rPr>
          <w:fldChar w:fldCharType="separate"/>
        </w:r>
        <w:r>
          <w:rPr>
            <w:noProof/>
            <w:webHidden/>
          </w:rPr>
          <w:t>16</w:t>
        </w:r>
        <w:r w:rsidR="00567BB5">
          <w:rPr>
            <w:noProof/>
            <w:webHidden/>
          </w:rPr>
          <w:fldChar w:fldCharType="end"/>
        </w:r>
      </w:hyperlink>
    </w:p>
    <w:p w14:paraId="7FFC1A62" w14:textId="77777777" w:rsidR="00324F9A" w:rsidRDefault="00CB4331">
      <w:pPr>
        <w:pStyle w:val="TOC2"/>
        <w:rPr>
          <w:rFonts w:asciiTheme="minorHAnsi" w:eastAsiaTheme="minorEastAsia" w:hAnsiTheme="minorHAnsi" w:cstheme="minorBidi"/>
          <w:noProof/>
          <w:szCs w:val="22"/>
        </w:rPr>
      </w:pPr>
      <w:hyperlink w:anchor="_Toc454465562" w:history="1">
        <w:r w:rsidR="00324F9A" w:rsidRPr="00667C33">
          <w:rPr>
            <w:rStyle w:val="Hyperlink"/>
            <w:noProof/>
          </w:rPr>
          <w:t>4.2</w:t>
        </w:r>
        <w:r w:rsidR="00324F9A">
          <w:rPr>
            <w:rFonts w:asciiTheme="minorHAnsi" w:eastAsiaTheme="minorEastAsia" w:hAnsiTheme="minorHAnsi" w:cstheme="minorBidi"/>
            <w:noProof/>
            <w:szCs w:val="22"/>
          </w:rPr>
          <w:tab/>
        </w:r>
        <w:r w:rsidR="00324F9A" w:rsidRPr="00667C33">
          <w:rPr>
            <w:rStyle w:val="Hyperlink"/>
            <w:noProof/>
          </w:rPr>
          <w:t>Synthèse de l’actualités de la presse</w:t>
        </w:r>
        <w:r w:rsidR="00324F9A">
          <w:rPr>
            <w:noProof/>
            <w:webHidden/>
          </w:rPr>
          <w:tab/>
        </w:r>
        <w:r w:rsidR="00567BB5">
          <w:rPr>
            <w:noProof/>
            <w:webHidden/>
          </w:rPr>
          <w:fldChar w:fldCharType="begin"/>
        </w:r>
        <w:r w:rsidR="00324F9A">
          <w:rPr>
            <w:noProof/>
            <w:webHidden/>
          </w:rPr>
          <w:instrText xml:space="preserve"> PAGEREF _Toc454465562 \h </w:instrText>
        </w:r>
        <w:r w:rsidR="00567BB5">
          <w:rPr>
            <w:noProof/>
            <w:webHidden/>
          </w:rPr>
        </w:r>
        <w:r w:rsidR="00567BB5">
          <w:rPr>
            <w:noProof/>
            <w:webHidden/>
          </w:rPr>
          <w:fldChar w:fldCharType="separate"/>
        </w:r>
        <w:r>
          <w:rPr>
            <w:noProof/>
            <w:webHidden/>
          </w:rPr>
          <w:t>16</w:t>
        </w:r>
        <w:r w:rsidR="00567BB5">
          <w:rPr>
            <w:noProof/>
            <w:webHidden/>
          </w:rPr>
          <w:fldChar w:fldCharType="end"/>
        </w:r>
      </w:hyperlink>
    </w:p>
    <w:p w14:paraId="7FFC1A63" w14:textId="77777777" w:rsidR="00324F9A" w:rsidRDefault="00CB4331">
      <w:pPr>
        <w:pStyle w:val="TOC1"/>
        <w:rPr>
          <w:rFonts w:asciiTheme="minorHAnsi" w:eastAsiaTheme="minorEastAsia" w:hAnsiTheme="minorHAnsi" w:cstheme="minorBidi"/>
          <w:noProof/>
          <w:szCs w:val="22"/>
        </w:rPr>
      </w:pPr>
      <w:hyperlink w:anchor="_Toc454465563" w:history="1">
        <w:r w:rsidR="00324F9A" w:rsidRPr="00667C33">
          <w:rPr>
            <w:rStyle w:val="Hyperlink"/>
            <w:noProof/>
          </w:rPr>
          <w:t>5</w:t>
        </w:r>
        <w:r w:rsidR="00324F9A">
          <w:rPr>
            <w:rFonts w:asciiTheme="minorHAnsi" w:eastAsiaTheme="minorEastAsia" w:hAnsiTheme="minorHAnsi" w:cstheme="minorBidi"/>
            <w:noProof/>
            <w:szCs w:val="22"/>
          </w:rPr>
          <w:tab/>
        </w:r>
        <w:r w:rsidR="00324F9A" w:rsidRPr="00667C33">
          <w:rPr>
            <w:rStyle w:val="Hyperlink"/>
            <w:noProof/>
          </w:rPr>
          <w:t>Procédures technologiques et innovation</w:t>
        </w:r>
        <w:r w:rsidR="00324F9A">
          <w:rPr>
            <w:noProof/>
            <w:webHidden/>
          </w:rPr>
          <w:tab/>
        </w:r>
        <w:r w:rsidR="00567BB5">
          <w:rPr>
            <w:noProof/>
            <w:webHidden/>
          </w:rPr>
          <w:fldChar w:fldCharType="begin"/>
        </w:r>
        <w:r w:rsidR="00324F9A">
          <w:rPr>
            <w:noProof/>
            <w:webHidden/>
          </w:rPr>
          <w:instrText xml:space="preserve"> PAGEREF _Toc454465563 \h </w:instrText>
        </w:r>
        <w:r w:rsidR="00567BB5">
          <w:rPr>
            <w:noProof/>
            <w:webHidden/>
          </w:rPr>
        </w:r>
        <w:r w:rsidR="00567BB5">
          <w:rPr>
            <w:noProof/>
            <w:webHidden/>
          </w:rPr>
          <w:fldChar w:fldCharType="separate"/>
        </w:r>
        <w:r>
          <w:rPr>
            <w:noProof/>
            <w:webHidden/>
          </w:rPr>
          <w:t>20</w:t>
        </w:r>
        <w:r w:rsidR="00567BB5">
          <w:rPr>
            <w:noProof/>
            <w:webHidden/>
          </w:rPr>
          <w:fldChar w:fldCharType="end"/>
        </w:r>
      </w:hyperlink>
    </w:p>
    <w:p w14:paraId="7FFC1A64" w14:textId="77777777" w:rsidR="00324F9A" w:rsidRDefault="00CB4331">
      <w:pPr>
        <w:pStyle w:val="TOC2"/>
        <w:rPr>
          <w:rFonts w:asciiTheme="minorHAnsi" w:eastAsiaTheme="minorEastAsia" w:hAnsiTheme="minorHAnsi" w:cstheme="minorBidi"/>
          <w:noProof/>
          <w:szCs w:val="22"/>
        </w:rPr>
      </w:pPr>
      <w:hyperlink w:anchor="_Toc454465564" w:history="1">
        <w:r w:rsidR="00324F9A" w:rsidRPr="00667C33">
          <w:rPr>
            <w:rStyle w:val="Hyperlink"/>
            <w:noProof/>
          </w:rPr>
          <w:t>5.1</w:t>
        </w:r>
        <w:r w:rsidR="00324F9A">
          <w:rPr>
            <w:rFonts w:asciiTheme="minorHAnsi" w:eastAsiaTheme="minorEastAsia" w:hAnsiTheme="minorHAnsi" w:cstheme="minorBidi"/>
            <w:noProof/>
            <w:szCs w:val="22"/>
          </w:rPr>
          <w:tab/>
        </w:r>
        <w:r w:rsidR="00324F9A" w:rsidRPr="00667C33">
          <w:rPr>
            <w:rStyle w:val="Hyperlink"/>
            <w:noProof/>
          </w:rPr>
          <w:t>Industrialisation et standardisation des services informatiques</w:t>
        </w:r>
        <w:r w:rsidR="00324F9A">
          <w:rPr>
            <w:noProof/>
            <w:webHidden/>
          </w:rPr>
          <w:tab/>
        </w:r>
        <w:r w:rsidR="00567BB5">
          <w:rPr>
            <w:noProof/>
            <w:webHidden/>
          </w:rPr>
          <w:fldChar w:fldCharType="begin"/>
        </w:r>
        <w:r w:rsidR="00324F9A">
          <w:rPr>
            <w:noProof/>
            <w:webHidden/>
          </w:rPr>
          <w:instrText xml:space="preserve"> PAGEREF _Toc454465564 \h </w:instrText>
        </w:r>
        <w:r w:rsidR="00567BB5">
          <w:rPr>
            <w:noProof/>
            <w:webHidden/>
          </w:rPr>
        </w:r>
        <w:r w:rsidR="00567BB5">
          <w:rPr>
            <w:noProof/>
            <w:webHidden/>
          </w:rPr>
          <w:fldChar w:fldCharType="separate"/>
        </w:r>
        <w:r>
          <w:rPr>
            <w:noProof/>
            <w:webHidden/>
          </w:rPr>
          <w:t>20</w:t>
        </w:r>
        <w:r w:rsidR="00567BB5">
          <w:rPr>
            <w:noProof/>
            <w:webHidden/>
          </w:rPr>
          <w:fldChar w:fldCharType="end"/>
        </w:r>
      </w:hyperlink>
    </w:p>
    <w:p w14:paraId="7FFC1A65" w14:textId="77777777" w:rsidR="00324F9A" w:rsidRDefault="00CB4331">
      <w:pPr>
        <w:pStyle w:val="TOC2"/>
        <w:rPr>
          <w:rFonts w:asciiTheme="minorHAnsi" w:eastAsiaTheme="minorEastAsia" w:hAnsiTheme="minorHAnsi" w:cstheme="minorBidi"/>
          <w:noProof/>
          <w:szCs w:val="22"/>
        </w:rPr>
      </w:pPr>
      <w:hyperlink w:anchor="_Toc454465565" w:history="1">
        <w:r w:rsidR="00324F9A" w:rsidRPr="00667C33">
          <w:rPr>
            <w:rStyle w:val="Hyperlink"/>
            <w:noProof/>
          </w:rPr>
          <w:t>5.2</w:t>
        </w:r>
        <w:r w:rsidR="00324F9A">
          <w:rPr>
            <w:rFonts w:asciiTheme="minorHAnsi" w:eastAsiaTheme="minorEastAsia" w:hAnsiTheme="minorHAnsi" w:cstheme="minorBidi"/>
            <w:noProof/>
            <w:szCs w:val="22"/>
          </w:rPr>
          <w:tab/>
        </w:r>
        <w:r w:rsidR="00324F9A" w:rsidRPr="00667C33">
          <w:rPr>
            <w:rStyle w:val="Hyperlink"/>
            <w:noProof/>
          </w:rPr>
          <w:t>L’innovation dans les services informatiques</w:t>
        </w:r>
        <w:r w:rsidR="00324F9A">
          <w:rPr>
            <w:noProof/>
            <w:webHidden/>
          </w:rPr>
          <w:tab/>
        </w:r>
        <w:r w:rsidR="00567BB5">
          <w:rPr>
            <w:noProof/>
            <w:webHidden/>
          </w:rPr>
          <w:fldChar w:fldCharType="begin"/>
        </w:r>
        <w:r w:rsidR="00324F9A">
          <w:rPr>
            <w:noProof/>
            <w:webHidden/>
          </w:rPr>
          <w:instrText xml:space="preserve"> PAGEREF _Toc454465565 \h </w:instrText>
        </w:r>
        <w:r w:rsidR="00567BB5">
          <w:rPr>
            <w:noProof/>
            <w:webHidden/>
          </w:rPr>
        </w:r>
        <w:r w:rsidR="00567BB5">
          <w:rPr>
            <w:noProof/>
            <w:webHidden/>
          </w:rPr>
          <w:fldChar w:fldCharType="separate"/>
        </w:r>
        <w:r>
          <w:rPr>
            <w:noProof/>
            <w:webHidden/>
          </w:rPr>
          <w:t>21</w:t>
        </w:r>
        <w:r w:rsidR="00567BB5">
          <w:rPr>
            <w:noProof/>
            <w:webHidden/>
          </w:rPr>
          <w:fldChar w:fldCharType="end"/>
        </w:r>
      </w:hyperlink>
    </w:p>
    <w:p w14:paraId="7FFC1A66" w14:textId="77777777" w:rsidR="00324F9A" w:rsidRDefault="00CB4331">
      <w:pPr>
        <w:pStyle w:val="TOC1"/>
        <w:rPr>
          <w:rFonts w:asciiTheme="minorHAnsi" w:eastAsiaTheme="minorEastAsia" w:hAnsiTheme="minorHAnsi" w:cstheme="minorBidi"/>
          <w:noProof/>
          <w:szCs w:val="22"/>
        </w:rPr>
      </w:pPr>
      <w:hyperlink w:anchor="_Toc454465566" w:history="1">
        <w:r w:rsidR="00324F9A" w:rsidRPr="00667C33">
          <w:rPr>
            <w:rStyle w:val="Hyperlink"/>
            <w:noProof/>
          </w:rPr>
          <w:t>6</w:t>
        </w:r>
        <w:r w:rsidR="00324F9A">
          <w:rPr>
            <w:rFonts w:asciiTheme="minorHAnsi" w:eastAsiaTheme="minorEastAsia" w:hAnsiTheme="minorHAnsi" w:cstheme="minorBidi"/>
            <w:noProof/>
            <w:szCs w:val="22"/>
          </w:rPr>
          <w:tab/>
        </w:r>
        <w:r w:rsidR="00324F9A" w:rsidRPr="00667C33">
          <w:rPr>
            <w:rStyle w:val="Hyperlink"/>
            <w:noProof/>
          </w:rPr>
          <w:t>Conjoncture</w:t>
        </w:r>
        <w:r w:rsidR="00324F9A">
          <w:rPr>
            <w:noProof/>
            <w:webHidden/>
          </w:rPr>
          <w:tab/>
        </w:r>
        <w:r w:rsidR="00567BB5">
          <w:rPr>
            <w:noProof/>
            <w:webHidden/>
          </w:rPr>
          <w:fldChar w:fldCharType="begin"/>
        </w:r>
        <w:r w:rsidR="00324F9A">
          <w:rPr>
            <w:noProof/>
            <w:webHidden/>
          </w:rPr>
          <w:instrText xml:space="preserve"> PAGEREF _Toc454465566 \h </w:instrText>
        </w:r>
        <w:r w:rsidR="00567BB5">
          <w:rPr>
            <w:noProof/>
            <w:webHidden/>
          </w:rPr>
        </w:r>
        <w:r w:rsidR="00567BB5">
          <w:rPr>
            <w:noProof/>
            <w:webHidden/>
          </w:rPr>
          <w:fldChar w:fldCharType="separate"/>
        </w:r>
        <w:r>
          <w:rPr>
            <w:noProof/>
            <w:webHidden/>
          </w:rPr>
          <w:t>22</w:t>
        </w:r>
        <w:r w:rsidR="00567BB5">
          <w:rPr>
            <w:noProof/>
            <w:webHidden/>
          </w:rPr>
          <w:fldChar w:fldCharType="end"/>
        </w:r>
      </w:hyperlink>
    </w:p>
    <w:p w14:paraId="7FFC1A67" w14:textId="77777777" w:rsidR="00324F9A" w:rsidRDefault="00CB4331">
      <w:pPr>
        <w:pStyle w:val="TOC2"/>
        <w:rPr>
          <w:rFonts w:asciiTheme="minorHAnsi" w:eastAsiaTheme="minorEastAsia" w:hAnsiTheme="minorHAnsi" w:cstheme="minorBidi"/>
          <w:noProof/>
          <w:szCs w:val="22"/>
        </w:rPr>
      </w:pPr>
      <w:hyperlink w:anchor="_Toc454465567" w:history="1">
        <w:r w:rsidR="00324F9A" w:rsidRPr="00667C33">
          <w:rPr>
            <w:rStyle w:val="Hyperlink"/>
            <w:noProof/>
          </w:rPr>
          <w:t>6.1</w:t>
        </w:r>
        <w:r w:rsidR="00324F9A">
          <w:rPr>
            <w:rFonts w:asciiTheme="minorHAnsi" w:eastAsiaTheme="minorEastAsia" w:hAnsiTheme="minorHAnsi" w:cstheme="minorBidi"/>
            <w:noProof/>
            <w:szCs w:val="22"/>
          </w:rPr>
          <w:tab/>
        </w:r>
        <w:r w:rsidR="00324F9A" w:rsidRPr="00667C33">
          <w:rPr>
            <w:rStyle w:val="Hyperlink"/>
            <w:noProof/>
          </w:rPr>
          <w:t>Indice de chiffre d’affaire</w:t>
        </w:r>
        <w:r w:rsidR="00324F9A">
          <w:rPr>
            <w:noProof/>
            <w:webHidden/>
          </w:rPr>
          <w:tab/>
        </w:r>
        <w:r w:rsidR="00567BB5">
          <w:rPr>
            <w:noProof/>
            <w:webHidden/>
          </w:rPr>
          <w:fldChar w:fldCharType="begin"/>
        </w:r>
        <w:r w:rsidR="00324F9A">
          <w:rPr>
            <w:noProof/>
            <w:webHidden/>
          </w:rPr>
          <w:instrText xml:space="preserve"> PAGEREF _Toc454465567 \h </w:instrText>
        </w:r>
        <w:r w:rsidR="00567BB5">
          <w:rPr>
            <w:noProof/>
            <w:webHidden/>
          </w:rPr>
        </w:r>
        <w:r w:rsidR="00567BB5">
          <w:rPr>
            <w:noProof/>
            <w:webHidden/>
          </w:rPr>
          <w:fldChar w:fldCharType="separate"/>
        </w:r>
        <w:r>
          <w:rPr>
            <w:noProof/>
            <w:webHidden/>
          </w:rPr>
          <w:t>22</w:t>
        </w:r>
        <w:r w:rsidR="00567BB5">
          <w:rPr>
            <w:noProof/>
            <w:webHidden/>
          </w:rPr>
          <w:fldChar w:fldCharType="end"/>
        </w:r>
      </w:hyperlink>
    </w:p>
    <w:p w14:paraId="7FFC1A68" w14:textId="77777777" w:rsidR="00324F9A" w:rsidRDefault="00CB4331">
      <w:pPr>
        <w:pStyle w:val="TOC2"/>
        <w:rPr>
          <w:rFonts w:asciiTheme="minorHAnsi" w:eastAsiaTheme="minorEastAsia" w:hAnsiTheme="minorHAnsi" w:cstheme="minorBidi"/>
          <w:noProof/>
          <w:szCs w:val="22"/>
        </w:rPr>
      </w:pPr>
      <w:hyperlink w:anchor="_Toc454465568" w:history="1">
        <w:r w:rsidR="00324F9A" w:rsidRPr="00667C33">
          <w:rPr>
            <w:rStyle w:val="Hyperlink"/>
            <w:noProof/>
          </w:rPr>
          <w:t>6.2</w:t>
        </w:r>
        <w:r w:rsidR="00324F9A">
          <w:rPr>
            <w:rFonts w:asciiTheme="minorHAnsi" w:eastAsiaTheme="minorEastAsia" w:hAnsiTheme="minorHAnsi" w:cstheme="minorBidi"/>
            <w:noProof/>
            <w:szCs w:val="22"/>
          </w:rPr>
          <w:tab/>
        </w:r>
        <w:r w:rsidR="00324F9A" w:rsidRPr="00667C33">
          <w:rPr>
            <w:rStyle w:val="Hyperlink"/>
            <w:noProof/>
          </w:rPr>
          <w:t>Indice des prix des prestations de service</w:t>
        </w:r>
        <w:r w:rsidR="00324F9A">
          <w:rPr>
            <w:noProof/>
            <w:webHidden/>
          </w:rPr>
          <w:tab/>
        </w:r>
        <w:r w:rsidR="00567BB5">
          <w:rPr>
            <w:noProof/>
            <w:webHidden/>
          </w:rPr>
          <w:fldChar w:fldCharType="begin"/>
        </w:r>
        <w:r w:rsidR="00324F9A">
          <w:rPr>
            <w:noProof/>
            <w:webHidden/>
          </w:rPr>
          <w:instrText xml:space="preserve"> PAGEREF _Toc454465568 \h </w:instrText>
        </w:r>
        <w:r w:rsidR="00567BB5">
          <w:rPr>
            <w:noProof/>
            <w:webHidden/>
          </w:rPr>
        </w:r>
        <w:r w:rsidR="00567BB5">
          <w:rPr>
            <w:noProof/>
            <w:webHidden/>
          </w:rPr>
          <w:fldChar w:fldCharType="separate"/>
        </w:r>
        <w:r>
          <w:rPr>
            <w:noProof/>
            <w:webHidden/>
          </w:rPr>
          <w:t>24</w:t>
        </w:r>
        <w:r w:rsidR="00567BB5">
          <w:rPr>
            <w:noProof/>
            <w:webHidden/>
          </w:rPr>
          <w:fldChar w:fldCharType="end"/>
        </w:r>
      </w:hyperlink>
    </w:p>
    <w:p w14:paraId="7FFC1A69" w14:textId="77777777" w:rsidR="00324F9A" w:rsidRDefault="00CB4331">
      <w:pPr>
        <w:pStyle w:val="TOC1"/>
        <w:rPr>
          <w:rFonts w:asciiTheme="minorHAnsi" w:eastAsiaTheme="minorEastAsia" w:hAnsiTheme="minorHAnsi" w:cstheme="minorBidi"/>
          <w:noProof/>
          <w:szCs w:val="22"/>
        </w:rPr>
      </w:pPr>
      <w:hyperlink w:anchor="_Toc454465569" w:history="1">
        <w:r w:rsidR="00324F9A" w:rsidRPr="00667C33">
          <w:rPr>
            <w:rStyle w:val="Hyperlink"/>
            <w:noProof/>
          </w:rPr>
          <w:t>7</w:t>
        </w:r>
        <w:r w:rsidR="00324F9A">
          <w:rPr>
            <w:rFonts w:asciiTheme="minorHAnsi" w:eastAsiaTheme="minorEastAsia" w:hAnsiTheme="minorHAnsi" w:cstheme="minorBidi"/>
            <w:noProof/>
            <w:szCs w:val="22"/>
          </w:rPr>
          <w:tab/>
        </w:r>
        <w:r w:rsidR="00324F9A" w:rsidRPr="00667C33">
          <w:rPr>
            <w:rStyle w:val="Hyperlink"/>
            <w:noProof/>
          </w:rPr>
          <w:t>Place du secteur dans l’économie</w:t>
        </w:r>
        <w:r w:rsidR="00324F9A">
          <w:rPr>
            <w:noProof/>
            <w:webHidden/>
          </w:rPr>
          <w:tab/>
        </w:r>
        <w:r w:rsidR="00567BB5">
          <w:rPr>
            <w:noProof/>
            <w:webHidden/>
          </w:rPr>
          <w:fldChar w:fldCharType="begin"/>
        </w:r>
        <w:r w:rsidR="00324F9A">
          <w:rPr>
            <w:noProof/>
            <w:webHidden/>
          </w:rPr>
          <w:instrText xml:space="preserve"> PAGEREF _Toc454465569 \h </w:instrText>
        </w:r>
        <w:r w:rsidR="00567BB5">
          <w:rPr>
            <w:noProof/>
            <w:webHidden/>
          </w:rPr>
        </w:r>
        <w:r w:rsidR="00567BB5">
          <w:rPr>
            <w:noProof/>
            <w:webHidden/>
          </w:rPr>
          <w:fldChar w:fldCharType="separate"/>
        </w:r>
        <w:r>
          <w:rPr>
            <w:noProof/>
            <w:webHidden/>
          </w:rPr>
          <w:t>26</w:t>
        </w:r>
        <w:r w:rsidR="00567BB5">
          <w:rPr>
            <w:noProof/>
            <w:webHidden/>
          </w:rPr>
          <w:fldChar w:fldCharType="end"/>
        </w:r>
      </w:hyperlink>
    </w:p>
    <w:p w14:paraId="7FFC1A6A" w14:textId="77777777" w:rsidR="00324F9A" w:rsidRDefault="00CB4331">
      <w:pPr>
        <w:pStyle w:val="TOC1"/>
        <w:rPr>
          <w:rFonts w:asciiTheme="minorHAnsi" w:eastAsiaTheme="minorEastAsia" w:hAnsiTheme="minorHAnsi" w:cstheme="minorBidi"/>
          <w:noProof/>
          <w:szCs w:val="22"/>
        </w:rPr>
      </w:pPr>
      <w:hyperlink w:anchor="_Toc454465570" w:history="1">
        <w:r w:rsidR="00324F9A" w:rsidRPr="00667C33">
          <w:rPr>
            <w:rStyle w:val="Hyperlink"/>
            <w:noProof/>
          </w:rPr>
          <w:t>8</w:t>
        </w:r>
        <w:r w:rsidR="00324F9A">
          <w:rPr>
            <w:rFonts w:asciiTheme="minorHAnsi" w:eastAsiaTheme="minorEastAsia" w:hAnsiTheme="minorHAnsi" w:cstheme="minorBidi"/>
            <w:noProof/>
            <w:szCs w:val="22"/>
          </w:rPr>
          <w:tab/>
        </w:r>
        <w:r w:rsidR="00324F9A" w:rsidRPr="00667C33">
          <w:rPr>
            <w:rStyle w:val="Hyperlink"/>
            <w:noProof/>
          </w:rPr>
          <w:t>Analyse des performances</w:t>
        </w:r>
        <w:r w:rsidR="00324F9A">
          <w:rPr>
            <w:noProof/>
            <w:webHidden/>
          </w:rPr>
          <w:tab/>
        </w:r>
        <w:r w:rsidR="00567BB5">
          <w:rPr>
            <w:noProof/>
            <w:webHidden/>
          </w:rPr>
          <w:fldChar w:fldCharType="begin"/>
        </w:r>
        <w:r w:rsidR="00324F9A">
          <w:rPr>
            <w:noProof/>
            <w:webHidden/>
          </w:rPr>
          <w:instrText xml:space="preserve"> PAGEREF _Toc454465570 \h </w:instrText>
        </w:r>
        <w:r w:rsidR="00567BB5">
          <w:rPr>
            <w:noProof/>
            <w:webHidden/>
          </w:rPr>
        </w:r>
        <w:r w:rsidR="00567BB5">
          <w:rPr>
            <w:noProof/>
            <w:webHidden/>
          </w:rPr>
          <w:fldChar w:fldCharType="separate"/>
        </w:r>
        <w:r>
          <w:rPr>
            <w:noProof/>
            <w:webHidden/>
          </w:rPr>
          <w:t>30</w:t>
        </w:r>
        <w:r w:rsidR="00567BB5">
          <w:rPr>
            <w:noProof/>
            <w:webHidden/>
          </w:rPr>
          <w:fldChar w:fldCharType="end"/>
        </w:r>
      </w:hyperlink>
    </w:p>
    <w:p w14:paraId="7FFC1A6B" w14:textId="77777777" w:rsidR="00324F9A" w:rsidRDefault="00CB4331">
      <w:pPr>
        <w:pStyle w:val="TOC1"/>
        <w:rPr>
          <w:rFonts w:asciiTheme="minorHAnsi" w:eastAsiaTheme="minorEastAsia" w:hAnsiTheme="minorHAnsi" w:cstheme="minorBidi"/>
          <w:noProof/>
          <w:szCs w:val="22"/>
        </w:rPr>
      </w:pPr>
      <w:hyperlink w:anchor="_Toc454465571" w:history="1">
        <w:r w:rsidR="00324F9A" w:rsidRPr="00667C33">
          <w:rPr>
            <w:rStyle w:val="Hyperlink"/>
            <w:noProof/>
          </w:rPr>
          <w:t>9</w:t>
        </w:r>
        <w:r w:rsidR="00324F9A">
          <w:rPr>
            <w:rFonts w:asciiTheme="minorHAnsi" w:eastAsiaTheme="minorEastAsia" w:hAnsiTheme="minorHAnsi" w:cstheme="minorBidi"/>
            <w:noProof/>
            <w:szCs w:val="22"/>
          </w:rPr>
          <w:tab/>
        </w:r>
        <w:r w:rsidR="00324F9A" w:rsidRPr="00667C33">
          <w:rPr>
            <w:rStyle w:val="Hyperlink"/>
            <w:noProof/>
          </w:rPr>
          <w:t>Démographie, qualification et localisation des emplois</w:t>
        </w:r>
        <w:r w:rsidR="00324F9A">
          <w:rPr>
            <w:noProof/>
            <w:webHidden/>
          </w:rPr>
          <w:tab/>
        </w:r>
        <w:r w:rsidR="00567BB5">
          <w:rPr>
            <w:noProof/>
            <w:webHidden/>
          </w:rPr>
          <w:fldChar w:fldCharType="begin"/>
        </w:r>
        <w:r w:rsidR="00324F9A">
          <w:rPr>
            <w:noProof/>
            <w:webHidden/>
          </w:rPr>
          <w:instrText xml:space="preserve"> PAGEREF _Toc454465571 \h </w:instrText>
        </w:r>
        <w:r w:rsidR="00567BB5">
          <w:rPr>
            <w:noProof/>
            <w:webHidden/>
          </w:rPr>
        </w:r>
        <w:r w:rsidR="00567BB5">
          <w:rPr>
            <w:noProof/>
            <w:webHidden/>
          </w:rPr>
          <w:fldChar w:fldCharType="separate"/>
        </w:r>
        <w:r>
          <w:rPr>
            <w:noProof/>
            <w:webHidden/>
          </w:rPr>
          <w:t>32</w:t>
        </w:r>
        <w:r w:rsidR="00567BB5">
          <w:rPr>
            <w:noProof/>
            <w:webHidden/>
          </w:rPr>
          <w:fldChar w:fldCharType="end"/>
        </w:r>
      </w:hyperlink>
    </w:p>
    <w:p w14:paraId="7FFC1A6C" w14:textId="77777777" w:rsidR="00324F9A" w:rsidRDefault="00CB4331">
      <w:pPr>
        <w:pStyle w:val="TOC2"/>
        <w:rPr>
          <w:rFonts w:asciiTheme="minorHAnsi" w:eastAsiaTheme="minorEastAsia" w:hAnsiTheme="minorHAnsi" w:cstheme="minorBidi"/>
          <w:noProof/>
          <w:szCs w:val="22"/>
        </w:rPr>
      </w:pPr>
      <w:hyperlink w:anchor="_Toc454465572" w:history="1">
        <w:r w:rsidR="00324F9A" w:rsidRPr="00667C33">
          <w:rPr>
            <w:rStyle w:val="Hyperlink"/>
            <w:noProof/>
          </w:rPr>
          <w:t>9.1</w:t>
        </w:r>
        <w:r w:rsidR="00324F9A">
          <w:rPr>
            <w:rFonts w:asciiTheme="minorHAnsi" w:eastAsiaTheme="minorEastAsia" w:hAnsiTheme="minorHAnsi" w:cstheme="minorBidi"/>
            <w:noProof/>
            <w:szCs w:val="22"/>
          </w:rPr>
          <w:tab/>
        </w:r>
        <w:r w:rsidR="00324F9A" w:rsidRPr="00667C33">
          <w:rPr>
            <w:rStyle w:val="Hyperlink"/>
            <w:noProof/>
          </w:rPr>
          <w:t>Démographie des entreprises su secteur</w:t>
        </w:r>
        <w:r w:rsidR="00324F9A">
          <w:rPr>
            <w:noProof/>
            <w:webHidden/>
          </w:rPr>
          <w:tab/>
        </w:r>
        <w:r w:rsidR="00567BB5">
          <w:rPr>
            <w:noProof/>
            <w:webHidden/>
          </w:rPr>
          <w:fldChar w:fldCharType="begin"/>
        </w:r>
        <w:r w:rsidR="00324F9A">
          <w:rPr>
            <w:noProof/>
            <w:webHidden/>
          </w:rPr>
          <w:instrText xml:space="preserve"> PAGEREF _Toc454465572 \h </w:instrText>
        </w:r>
        <w:r w:rsidR="00567BB5">
          <w:rPr>
            <w:noProof/>
            <w:webHidden/>
          </w:rPr>
        </w:r>
        <w:r w:rsidR="00567BB5">
          <w:rPr>
            <w:noProof/>
            <w:webHidden/>
          </w:rPr>
          <w:fldChar w:fldCharType="separate"/>
        </w:r>
        <w:r>
          <w:rPr>
            <w:noProof/>
            <w:webHidden/>
          </w:rPr>
          <w:t>32</w:t>
        </w:r>
        <w:r w:rsidR="00567BB5">
          <w:rPr>
            <w:noProof/>
            <w:webHidden/>
          </w:rPr>
          <w:fldChar w:fldCharType="end"/>
        </w:r>
      </w:hyperlink>
    </w:p>
    <w:p w14:paraId="7FFC1A6D" w14:textId="77777777" w:rsidR="00324F9A" w:rsidRDefault="00CB4331">
      <w:pPr>
        <w:pStyle w:val="TOC3"/>
        <w:rPr>
          <w:rFonts w:asciiTheme="minorHAnsi" w:eastAsiaTheme="minorEastAsia" w:hAnsiTheme="minorHAnsi" w:cstheme="minorBidi"/>
          <w:noProof/>
          <w:szCs w:val="22"/>
        </w:rPr>
      </w:pPr>
      <w:hyperlink w:anchor="_Toc454465573" w:history="1">
        <w:r w:rsidR="00324F9A" w:rsidRPr="00667C33">
          <w:rPr>
            <w:rStyle w:val="Hyperlink"/>
            <w:noProof/>
          </w:rPr>
          <w:t>9.1.1</w:t>
        </w:r>
        <w:r w:rsidR="00324F9A">
          <w:rPr>
            <w:rFonts w:asciiTheme="minorHAnsi" w:eastAsiaTheme="minorEastAsia" w:hAnsiTheme="minorHAnsi" w:cstheme="minorBidi"/>
            <w:noProof/>
            <w:szCs w:val="22"/>
          </w:rPr>
          <w:tab/>
        </w:r>
        <w:r w:rsidR="00324F9A" w:rsidRPr="00667C33">
          <w:rPr>
            <w:rStyle w:val="Hyperlink"/>
            <w:noProof/>
          </w:rPr>
          <w:t>Structure du secteur</w:t>
        </w:r>
        <w:r w:rsidR="00324F9A">
          <w:rPr>
            <w:noProof/>
            <w:webHidden/>
          </w:rPr>
          <w:tab/>
        </w:r>
        <w:r w:rsidR="00567BB5">
          <w:rPr>
            <w:noProof/>
            <w:webHidden/>
          </w:rPr>
          <w:fldChar w:fldCharType="begin"/>
        </w:r>
        <w:r w:rsidR="00324F9A">
          <w:rPr>
            <w:noProof/>
            <w:webHidden/>
          </w:rPr>
          <w:instrText xml:space="preserve"> PAGEREF _Toc454465573 \h </w:instrText>
        </w:r>
        <w:r w:rsidR="00567BB5">
          <w:rPr>
            <w:noProof/>
            <w:webHidden/>
          </w:rPr>
        </w:r>
        <w:r w:rsidR="00567BB5">
          <w:rPr>
            <w:noProof/>
            <w:webHidden/>
          </w:rPr>
          <w:fldChar w:fldCharType="separate"/>
        </w:r>
        <w:r>
          <w:rPr>
            <w:noProof/>
            <w:webHidden/>
          </w:rPr>
          <w:t>32</w:t>
        </w:r>
        <w:r w:rsidR="00567BB5">
          <w:rPr>
            <w:noProof/>
            <w:webHidden/>
          </w:rPr>
          <w:fldChar w:fldCharType="end"/>
        </w:r>
      </w:hyperlink>
    </w:p>
    <w:p w14:paraId="7FFC1A6E" w14:textId="77777777" w:rsidR="00324F9A" w:rsidRDefault="00CB4331">
      <w:pPr>
        <w:pStyle w:val="TOC3"/>
        <w:rPr>
          <w:rFonts w:asciiTheme="minorHAnsi" w:eastAsiaTheme="minorEastAsia" w:hAnsiTheme="minorHAnsi" w:cstheme="minorBidi"/>
          <w:noProof/>
          <w:szCs w:val="22"/>
        </w:rPr>
      </w:pPr>
      <w:hyperlink w:anchor="_Toc454465574" w:history="1">
        <w:r w:rsidR="00324F9A" w:rsidRPr="00667C33">
          <w:rPr>
            <w:rStyle w:val="Hyperlink"/>
            <w:noProof/>
          </w:rPr>
          <w:t>9.1.2</w:t>
        </w:r>
        <w:r w:rsidR="00324F9A">
          <w:rPr>
            <w:rFonts w:asciiTheme="minorHAnsi" w:eastAsiaTheme="minorEastAsia" w:hAnsiTheme="minorHAnsi" w:cstheme="minorBidi"/>
            <w:noProof/>
            <w:szCs w:val="22"/>
          </w:rPr>
          <w:tab/>
        </w:r>
        <w:r w:rsidR="00324F9A" w:rsidRPr="00667C33">
          <w:rPr>
            <w:rStyle w:val="Hyperlink"/>
            <w:noProof/>
          </w:rPr>
          <w:t>Localisation des entreprises</w:t>
        </w:r>
        <w:r w:rsidR="00324F9A">
          <w:rPr>
            <w:noProof/>
            <w:webHidden/>
          </w:rPr>
          <w:tab/>
        </w:r>
        <w:r w:rsidR="00567BB5">
          <w:rPr>
            <w:noProof/>
            <w:webHidden/>
          </w:rPr>
          <w:fldChar w:fldCharType="begin"/>
        </w:r>
        <w:r w:rsidR="00324F9A">
          <w:rPr>
            <w:noProof/>
            <w:webHidden/>
          </w:rPr>
          <w:instrText xml:space="preserve"> PAGEREF _Toc454465574 \h </w:instrText>
        </w:r>
        <w:r w:rsidR="00567BB5">
          <w:rPr>
            <w:noProof/>
            <w:webHidden/>
          </w:rPr>
        </w:r>
        <w:r w:rsidR="00567BB5">
          <w:rPr>
            <w:noProof/>
            <w:webHidden/>
          </w:rPr>
          <w:fldChar w:fldCharType="separate"/>
        </w:r>
        <w:r>
          <w:rPr>
            <w:noProof/>
            <w:webHidden/>
          </w:rPr>
          <w:t>32</w:t>
        </w:r>
        <w:r w:rsidR="00567BB5">
          <w:rPr>
            <w:noProof/>
            <w:webHidden/>
          </w:rPr>
          <w:fldChar w:fldCharType="end"/>
        </w:r>
      </w:hyperlink>
    </w:p>
    <w:p w14:paraId="7FFC1A6F" w14:textId="77777777" w:rsidR="00324F9A" w:rsidRDefault="00CB4331">
      <w:pPr>
        <w:pStyle w:val="TOC3"/>
        <w:rPr>
          <w:rFonts w:asciiTheme="minorHAnsi" w:eastAsiaTheme="minorEastAsia" w:hAnsiTheme="minorHAnsi" w:cstheme="minorBidi"/>
          <w:noProof/>
          <w:szCs w:val="22"/>
        </w:rPr>
      </w:pPr>
      <w:hyperlink w:anchor="_Toc454465575" w:history="1">
        <w:r w:rsidR="00324F9A" w:rsidRPr="00667C33">
          <w:rPr>
            <w:rStyle w:val="Hyperlink"/>
            <w:noProof/>
          </w:rPr>
          <w:t>9.1.3</w:t>
        </w:r>
        <w:r w:rsidR="00324F9A">
          <w:rPr>
            <w:rFonts w:asciiTheme="minorHAnsi" w:eastAsiaTheme="minorEastAsia" w:hAnsiTheme="minorHAnsi" w:cstheme="minorBidi"/>
            <w:noProof/>
            <w:szCs w:val="22"/>
          </w:rPr>
          <w:tab/>
        </w:r>
        <w:r w:rsidR="00324F9A" w:rsidRPr="00667C33">
          <w:rPr>
            <w:rStyle w:val="Hyperlink"/>
            <w:noProof/>
          </w:rPr>
          <w:t>La création et la défaillance des entreprises</w:t>
        </w:r>
        <w:r w:rsidR="00324F9A">
          <w:rPr>
            <w:noProof/>
            <w:webHidden/>
          </w:rPr>
          <w:tab/>
        </w:r>
        <w:r w:rsidR="00567BB5">
          <w:rPr>
            <w:noProof/>
            <w:webHidden/>
          </w:rPr>
          <w:fldChar w:fldCharType="begin"/>
        </w:r>
        <w:r w:rsidR="00324F9A">
          <w:rPr>
            <w:noProof/>
            <w:webHidden/>
          </w:rPr>
          <w:instrText xml:space="preserve"> PAGEREF _Toc454465575 \h </w:instrText>
        </w:r>
        <w:r w:rsidR="00567BB5">
          <w:rPr>
            <w:noProof/>
            <w:webHidden/>
          </w:rPr>
        </w:r>
        <w:r w:rsidR="00567BB5">
          <w:rPr>
            <w:noProof/>
            <w:webHidden/>
          </w:rPr>
          <w:fldChar w:fldCharType="separate"/>
        </w:r>
        <w:r>
          <w:rPr>
            <w:noProof/>
            <w:webHidden/>
          </w:rPr>
          <w:t>33</w:t>
        </w:r>
        <w:r w:rsidR="00567BB5">
          <w:rPr>
            <w:noProof/>
            <w:webHidden/>
          </w:rPr>
          <w:fldChar w:fldCharType="end"/>
        </w:r>
      </w:hyperlink>
    </w:p>
    <w:p w14:paraId="7FFC1A70" w14:textId="77777777" w:rsidR="00324F9A" w:rsidRDefault="00CB4331">
      <w:pPr>
        <w:pStyle w:val="TOC3"/>
        <w:rPr>
          <w:rFonts w:asciiTheme="minorHAnsi" w:eastAsiaTheme="minorEastAsia" w:hAnsiTheme="minorHAnsi" w:cstheme="minorBidi"/>
          <w:noProof/>
          <w:szCs w:val="22"/>
        </w:rPr>
      </w:pPr>
      <w:hyperlink w:anchor="_Toc454465576" w:history="1">
        <w:r w:rsidR="00324F9A" w:rsidRPr="00667C33">
          <w:rPr>
            <w:rStyle w:val="Hyperlink"/>
            <w:noProof/>
          </w:rPr>
          <w:t>9.1.4</w:t>
        </w:r>
        <w:r w:rsidR="00324F9A">
          <w:rPr>
            <w:rFonts w:asciiTheme="minorHAnsi" w:eastAsiaTheme="minorEastAsia" w:hAnsiTheme="minorHAnsi" w:cstheme="minorBidi"/>
            <w:noProof/>
            <w:szCs w:val="22"/>
          </w:rPr>
          <w:tab/>
        </w:r>
        <w:r w:rsidR="00324F9A" w:rsidRPr="00667C33">
          <w:rPr>
            <w:rStyle w:val="Hyperlink"/>
            <w:noProof/>
          </w:rPr>
          <w:t>L’âge des entreprises</w:t>
        </w:r>
        <w:r w:rsidR="00324F9A">
          <w:rPr>
            <w:noProof/>
            <w:webHidden/>
          </w:rPr>
          <w:tab/>
        </w:r>
        <w:r w:rsidR="00567BB5">
          <w:rPr>
            <w:noProof/>
            <w:webHidden/>
          </w:rPr>
          <w:fldChar w:fldCharType="begin"/>
        </w:r>
        <w:r w:rsidR="00324F9A">
          <w:rPr>
            <w:noProof/>
            <w:webHidden/>
          </w:rPr>
          <w:instrText xml:space="preserve"> PAGEREF _Toc454465576 \h </w:instrText>
        </w:r>
        <w:r w:rsidR="00567BB5">
          <w:rPr>
            <w:noProof/>
            <w:webHidden/>
          </w:rPr>
        </w:r>
        <w:r w:rsidR="00567BB5">
          <w:rPr>
            <w:noProof/>
            <w:webHidden/>
          </w:rPr>
          <w:fldChar w:fldCharType="separate"/>
        </w:r>
        <w:r>
          <w:rPr>
            <w:noProof/>
            <w:webHidden/>
          </w:rPr>
          <w:t>33</w:t>
        </w:r>
        <w:r w:rsidR="00567BB5">
          <w:rPr>
            <w:noProof/>
            <w:webHidden/>
          </w:rPr>
          <w:fldChar w:fldCharType="end"/>
        </w:r>
      </w:hyperlink>
    </w:p>
    <w:p w14:paraId="7FFC1A71" w14:textId="77777777" w:rsidR="00324F9A" w:rsidRDefault="00CB4331">
      <w:pPr>
        <w:pStyle w:val="TOC2"/>
        <w:rPr>
          <w:rFonts w:asciiTheme="minorHAnsi" w:eastAsiaTheme="minorEastAsia" w:hAnsiTheme="minorHAnsi" w:cstheme="minorBidi"/>
          <w:noProof/>
          <w:szCs w:val="22"/>
        </w:rPr>
      </w:pPr>
      <w:hyperlink w:anchor="_Toc454465577" w:history="1">
        <w:r w:rsidR="00324F9A" w:rsidRPr="00667C33">
          <w:rPr>
            <w:rStyle w:val="Hyperlink"/>
            <w:noProof/>
          </w:rPr>
          <w:t>9.2</w:t>
        </w:r>
        <w:r w:rsidR="00324F9A">
          <w:rPr>
            <w:rFonts w:asciiTheme="minorHAnsi" w:eastAsiaTheme="minorEastAsia" w:hAnsiTheme="minorHAnsi" w:cstheme="minorBidi"/>
            <w:noProof/>
            <w:szCs w:val="22"/>
          </w:rPr>
          <w:tab/>
        </w:r>
        <w:r w:rsidR="00324F9A" w:rsidRPr="00667C33">
          <w:rPr>
            <w:rStyle w:val="Hyperlink"/>
            <w:noProof/>
          </w:rPr>
          <w:t>Démographie des salariés</w:t>
        </w:r>
        <w:r w:rsidR="00324F9A">
          <w:rPr>
            <w:noProof/>
            <w:webHidden/>
          </w:rPr>
          <w:tab/>
        </w:r>
        <w:r w:rsidR="00567BB5">
          <w:rPr>
            <w:noProof/>
            <w:webHidden/>
          </w:rPr>
          <w:fldChar w:fldCharType="begin"/>
        </w:r>
        <w:r w:rsidR="00324F9A">
          <w:rPr>
            <w:noProof/>
            <w:webHidden/>
          </w:rPr>
          <w:instrText xml:space="preserve"> PAGEREF _Toc454465577 \h </w:instrText>
        </w:r>
        <w:r w:rsidR="00567BB5">
          <w:rPr>
            <w:noProof/>
            <w:webHidden/>
          </w:rPr>
        </w:r>
        <w:r w:rsidR="00567BB5">
          <w:rPr>
            <w:noProof/>
            <w:webHidden/>
          </w:rPr>
          <w:fldChar w:fldCharType="separate"/>
        </w:r>
        <w:r>
          <w:rPr>
            <w:noProof/>
            <w:webHidden/>
          </w:rPr>
          <w:t>33</w:t>
        </w:r>
        <w:r w:rsidR="00567BB5">
          <w:rPr>
            <w:noProof/>
            <w:webHidden/>
          </w:rPr>
          <w:fldChar w:fldCharType="end"/>
        </w:r>
      </w:hyperlink>
    </w:p>
    <w:p w14:paraId="7FFC1A72" w14:textId="77777777" w:rsidR="00324F9A" w:rsidRDefault="00CB4331">
      <w:pPr>
        <w:pStyle w:val="TOC3"/>
        <w:rPr>
          <w:rFonts w:asciiTheme="minorHAnsi" w:eastAsiaTheme="minorEastAsia" w:hAnsiTheme="minorHAnsi" w:cstheme="minorBidi"/>
          <w:noProof/>
          <w:szCs w:val="22"/>
        </w:rPr>
      </w:pPr>
      <w:hyperlink w:anchor="_Toc454465578" w:history="1">
        <w:r w:rsidR="00324F9A" w:rsidRPr="00667C33">
          <w:rPr>
            <w:rStyle w:val="Hyperlink"/>
            <w:noProof/>
          </w:rPr>
          <w:t>9.2.1</w:t>
        </w:r>
        <w:r w:rsidR="00324F9A">
          <w:rPr>
            <w:rFonts w:asciiTheme="minorHAnsi" w:eastAsiaTheme="minorEastAsia" w:hAnsiTheme="minorHAnsi" w:cstheme="minorBidi"/>
            <w:noProof/>
            <w:szCs w:val="22"/>
          </w:rPr>
          <w:tab/>
        </w:r>
        <w:r w:rsidR="00324F9A" w:rsidRPr="00667C33">
          <w:rPr>
            <w:rStyle w:val="Hyperlink"/>
            <w:noProof/>
          </w:rPr>
          <w:t>Nombre d’emploi par taille d’entreprise</w:t>
        </w:r>
        <w:r w:rsidR="00324F9A">
          <w:rPr>
            <w:noProof/>
            <w:webHidden/>
          </w:rPr>
          <w:tab/>
        </w:r>
        <w:r w:rsidR="00567BB5">
          <w:rPr>
            <w:noProof/>
            <w:webHidden/>
          </w:rPr>
          <w:fldChar w:fldCharType="begin"/>
        </w:r>
        <w:r w:rsidR="00324F9A">
          <w:rPr>
            <w:noProof/>
            <w:webHidden/>
          </w:rPr>
          <w:instrText xml:space="preserve"> PAGEREF _Toc454465578 \h </w:instrText>
        </w:r>
        <w:r w:rsidR="00567BB5">
          <w:rPr>
            <w:noProof/>
            <w:webHidden/>
          </w:rPr>
        </w:r>
        <w:r w:rsidR="00567BB5">
          <w:rPr>
            <w:noProof/>
            <w:webHidden/>
          </w:rPr>
          <w:fldChar w:fldCharType="separate"/>
        </w:r>
        <w:r>
          <w:rPr>
            <w:noProof/>
            <w:webHidden/>
          </w:rPr>
          <w:t>33</w:t>
        </w:r>
        <w:r w:rsidR="00567BB5">
          <w:rPr>
            <w:noProof/>
            <w:webHidden/>
          </w:rPr>
          <w:fldChar w:fldCharType="end"/>
        </w:r>
      </w:hyperlink>
    </w:p>
    <w:p w14:paraId="7FFC1A73" w14:textId="77777777" w:rsidR="00324F9A" w:rsidRDefault="00CB4331">
      <w:pPr>
        <w:pStyle w:val="TOC3"/>
        <w:rPr>
          <w:rFonts w:asciiTheme="minorHAnsi" w:eastAsiaTheme="minorEastAsia" w:hAnsiTheme="minorHAnsi" w:cstheme="minorBidi"/>
          <w:noProof/>
          <w:szCs w:val="22"/>
        </w:rPr>
      </w:pPr>
      <w:hyperlink w:anchor="_Toc454465579" w:history="1">
        <w:r w:rsidR="00324F9A" w:rsidRPr="00667C33">
          <w:rPr>
            <w:rStyle w:val="Hyperlink"/>
            <w:noProof/>
          </w:rPr>
          <w:t>9.2.2</w:t>
        </w:r>
        <w:r w:rsidR="00324F9A">
          <w:rPr>
            <w:rFonts w:asciiTheme="minorHAnsi" w:eastAsiaTheme="minorEastAsia" w:hAnsiTheme="minorHAnsi" w:cstheme="minorBidi"/>
            <w:noProof/>
            <w:szCs w:val="22"/>
          </w:rPr>
          <w:tab/>
        </w:r>
        <w:r w:rsidR="00324F9A" w:rsidRPr="00667C33">
          <w:rPr>
            <w:rStyle w:val="Hyperlink"/>
            <w:noProof/>
          </w:rPr>
          <w:t>Qualification des emplois</w:t>
        </w:r>
        <w:r w:rsidR="00324F9A">
          <w:rPr>
            <w:noProof/>
            <w:webHidden/>
          </w:rPr>
          <w:tab/>
        </w:r>
        <w:r w:rsidR="00567BB5">
          <w:rPr>
            <w:noProof/>
            <w:webHidden/>
          </w:rPr>
          <w:fldChar w:fldCharType="begin"/>
        </w:r>
        <w:r w:rsidR="00324F9A">
          <w:rPr>
            <w:noProof/>
            <w:webHidden/>
          </w:rPr>
          <w:instrText xml:space="preserve"> PAGEREF _Toc454465579 \h </w:instrText>
        </w:r>
        <w:r w:rsidR="00567BB5">
          <w:rPr>
            <w:noProof/>
            <w:webHidden/>
          </w:rPr>
        </w:r>
        <w:r w:rsidR="00567BB5">
          <w:rPr>
            <w:noProof/>
            <w:webHidden/>
          </w:rPr>
          <w:fldChar w:fldCharType="separate"/>
        </w:r>
        <w:r>
          <w:rPr>
            <w:noProof/>
            <w:webHidden/>
          </w:rPr>
          <w:t>34</w:t>
        </w:r>
        <w:r w:rsidR="00567BB5">
          <w:rPr>
            <w:noProof/>
            <w:webHidden/>
          </w:rPr>
          <w:fldChar w:fldCharType="end"/>
        </w:r>
      </w:hyperlink>
    </w:p>
    <w:p w14:paraId="7FFC1A74" w14:textId="77777777" w:rsidR="00324F9A" w:rsidRDefault="00CB4331">
      <w:pPr>
        <w:pStyle w:val="TOC1"/>
        <w:rPr>
          <w:rFonts w:asciiTheme="minorHAnsi" w:eastAsiaTheme="minorEastAsia" w:hAnsiTheme="minorHAnsi" w:cstheme="minorBidi"/>
          <w:noProof/>
          <w:szCs w:val="22"/>
        </w:rPr>
      </w:pPr>
      <w:hyperlink w:anchor="_Toc454465580" w:history="1">
        <w:r w:rsidR="00324F9A" w:rsidRPr="00667C33">
          <w:rPr>
            <w:rStyle w:val="Hyperlink"/>
            <w:noProof/>
          </w:rPr>
          <w:t>10</w:t>
        </w:r>
        <w:r w:rsidR="00324F9A">
          <w:rPr>
            <w:rFonts w:asciiTheme="minorHAnsi" w:eastAsiaTheme="minorEastAsia" w:hAnsiTheme="minorHAnsi" w:cstheme="minorBidi"/>
            <w:noProof/>
            <w:szCs w:val="22"/>
          </w:rPr>
          <w:tab/>
        </w:r>
        <w:r w:rsidR="00324F9A" w:rsidRPr="00667C33">
          <w:rPr>
            <w:rStyle w:val="Hyperlink"/>
            <w:noProof/>
          </w:rPr>
          <w:t>Situation concurrentielle de M. Porter</w:t>
        </w:r>
        <w:r w:rsidR="00324F9A">
          <w:rPr>
            <w:noProof/>
            <w:webHidden/>
          </w:rPr>
          <w:tab/>
        </w:r>
        <w:r w:rsidR="00567BB5">
          <w:rPr>
            <w:noProof/>
            <w:webHidden/>
          </w:rPr>
          <w:fldChar w:fldCharType="begin"/>
        </w:r>
        <w:r w:rsidR="00324F9A">
          <w:rPr>
            <w:noProof/>
            <w:webHidden/>
          </w:rPr>
          <w:instrText xml:space="preserve"> PAGEREF _Toc454465580 \h </w:instrText>
        </w:r>
        <w:r w:rsidR="00567BB5">
          <w:rPr>
            <w:noProof/>
            <w:webHidden/>
          </w:rPr>
        </w:r>
        <w:r w:rsidR="00567BB5">
          <w:rPr>
            <w:noProof/>
            <w:webHidden/>
          </w:rPr>
          <w:fldChar w:fldCharType="separate"/>
        </w:r>
        <w:r>
          <w:rPr>
            <w:noProof/>
            <w:webHidden/>
          </w:rPr>
          <w:t>43</w:t>
        </w:r>
        <w:r w:rsidR="00567BB5">
          <w:rPr>
            <w:noProof/>
            <w:webHidden/>
          </w:rPr>
          <w:fldChar w:fldCharType="end"/>
        </w:r>
      </w:hyperlink>
    </w:p>
    <w:p w14:paraId="7FFC1A75" w14:textId="77777777" w:rsidR="00324F9A" w:rsidRDefault="00CB4331">
      <w:pPr>
        <w:pStyle w:val="TOC2"/>
        <w:tabs>
          <w:tab w:val="left" w:pos="1320"/>
        </w:tabs>
        <w:rPr>
          <w:rFonts w:asciiTheme="minorHAnsi" w:eastAsiaTheme="minorEastAsia" w:hAnsiTheme="minorHAnsi" w:cstheme="minorBidi"/>
          <w:noProof/>
          <w:szCs w:val="22"/>
        </w:rPr>
      </w:pPr>
      <w:hyperlink w:anchor="_Toc454465581" w:history="1">
        <w:r w:rsidR="00324F9A" w:rsidRPr="00667C33">
          <w:rPr>
            <w:rStyle w:val="Hyperlink"/>
            <w:noProof/>
          </w:rPr>
          <w:t>10.1</w:t>
        </w:r>
        <w:r w:rsidR="00324F9A">
          <w:rPr>
            <w:rFonts w:asciiTheme="minorHAnsi" w:eastAsiaTheme="minorEastAsia" w:hAnsiTheme="minorHAnsi" w:cstheme="minorBidi"/>
            <w:noProof/>
            <w:szCs w:val="22"/>
          </w:rPr>
          <w:tab/>
        </w:r>
        <w:r w:rsidR="00324F9A" w:rsidRPr="00667C33">
          <w:rPr>
            <w:rStyle w:val="Hyperlink"/>
            <w:noProof/>
          </w:rPr>
          <w:t>Les clients</w:t>
        </w:r>
        <w:r w:rsidR="00324F9A">
          <w:rPr>
            <w:noProof/>
            <w:webHidden/>
          </w:rPr>
          <w:tab/>
        </w:r>
        <w:r w:rsidR="00567BB5">
          <w:rPr>
            <w:noProof/>
            <w:webHidden/>
          </w:rPr>
          <w:fldChar w:fldCharType="begin"/>
        </w:r>
        <w:r w:rsidR="00324F9A">
          <w:rPr>
            <w:noProof/>
            <w:webHidden/>
          </w:rPr>
          <w:instrText xml:space="preserve"> PAGEREF _Toc454465581 \h </w:instrText>
        </w:r>
        <w:r w:rsidR="00567BB5">
          <w:rPr>
            <w:noProof/>
            <w:webHidden/>
          </w:rPr>
        </w:r>
        <w:r w:rsidR="00567BB5">
          <w:rPr>
            <w:noProof/>
            <w:webHidden/>
          </w:rPr>
          <w:fldChar w:fldCharType="separate"/>
        </w:r>
        <w:r>
          <w:rPr>
            <w:noProof/>
            <w:webHidden/>
          </w:rPr>
          <w:t>43</w:t>
        </w:r>
        <w:r w:rsidR="00567BB5">
          <w:rPr>
            <w:noProof/>
            <w:webHidden/>
          </w:rPr>
          <w:fldChar w:fldCharType="end"/>
        </w:r>
      </w:hyperlink>
    </w:p>
    <w:p w14:paraId="7FFC1A76" w14:textId="77777777" w:rsidR="00324F9A" w:rsidRDefault="00CB4331">
      <w:pPr>
        <w:pStyle w:val="TOC2"/>
        <w:tabs>
          <w:tab w:val="left" w:pos="1320"/>
        </w:tabs>
        <w:rPr>
          <w:rFonts w:asciiTheme="minorHAnsi" w:eastAsiaTheme="minorEastAsia" w:hAnsiTheme="minorHAnsi" w:cstheme="minorBidi"/>
          <w:noProof/>
          <w:szCs w:val="22"/>
        </w:rPr>
      </w:pPr>
      <w:hyperlink w:anchor="_Toc454465582" w:history="1">
        <w:r w:rsidR="00324F9A" w:rsidRPr="00667C33">
          <w:rPr>
            <w:rStyle w:val="Hyperlink"/>
            <w:noProof/>
          </w:rPr>
          <w:t>10.2</w:t>
        </w:r>
        <w:r w:rsidR="00324F9A">
          <w:rPr>
            <w:rFonts w:asciiTheme="minorHAnsi" w:eastAsiaTheme="minorEastAsia" w:hAnsiTheme="minorHAnsi" w:cstheme="minorBidi"/>
            <w:noProof/>
            <w:szCs w:val="22"/>
          </w:rPr>
          <w:tab/>
        </w:r>
        <w:r w:rsidR="00324F9A" w:rsidRPr="00667C33">
          <w:rPr>
            <w:rStyle w:val="Hyperlink"/>
            <w:noProof/>
          </w:rPr>
          <w:t>Les fournisseurs</w:t>
        </w:r>
        <w:r w:rsidR="00324F9A">
          <w:rPr>
            <w:noProof/>
            <w:webHidden/>
          </w:rPr>
          <w:tab/>
        </w:r>
        <w:r w:rsidR="00567BB5">
          <w:rPr>
            <w:noProof/>
            <w:webHidden/>
          </w:rPr>
          <w:fldChar w:fldCharType="begin"/>
        </w:r>
        <w:r w:rsidR="00324F9A">
          <w:rPr>
            <w:noProof/>
            <w:webHidden/>
          </w:rPr>
          <w:instrText xml:space="preserve"> PAGEREF _Toc454465582 \h </w:instrText>
        </w:r>
        <w:r w:rsidR="00567BB5">
          <w:rPr>
            <w:noProof/>
            <w:webHidden/>
          </w:rPr>
        </w:r>
        <w:r w:rsidR="00567BB5">
          <w:rPr>
            <w:noProof/>
            <w:webHidden/>
          </w:rPr>
          <w:fldChar w:fldCharType="separate"/>
        </w:r>
        <w:r>
          <w:rPr>
            <w:noProof/>
            <w:webHidden/>
          </w:rPr>
          <w:t>43</w:t>
        </w:r>
        <w:r w:rsidR="00567BB5">
          <w:rPr>
            <w:noProof/>
            <w:webHidden/>
          </w:rPr>
          <w:fldChar w:fldCharType="end"/>
        </w:r>
      </w:hyperlink>
    </w:p>
    <w:p w14:paraId="7FFC1A77" w14:textId="77777777" w:rsidR="00324F9A" w:rsidRDefault="00CB4331">
      <w:pPr>
        <w:pStyle w:val="TOC2"/>
        <w:tabs>
          <w:tab w:val="left" w:pos="1320"/>
        </w:tabs>
        <w:rPr>
          <w:rFonts w:asciiTheme="minorHAnsi" w:eastAsiaTheme="minorEastAsia" w:hAnsiTheme="minorHAnsi" w:cstheme="minorBidi"/>
          <w:noProof/>
          <w:szCs w:val="22"/>
        </w:rPr>
      </w:pPr>
      <w:hyperlink w:anchor="_Toc454465583" w:history="1">
        <w:r w:rsidR="00324F9A" w:rsidRPr="00667C33">
          <w:rPr>
            <w:rStyle w:val="Hyperlink"/>
            <w:noProof/>
          </w:rPr>
          <w:t>10.3</w:t>
        </w:r>
        <w:r w:rsidR="00324F9A">
          <w:rPr>
            <w:rFonts w:asciiTheme="minorHAnsi" w:eastAsiaTheme="minorEastAsia" w:hAnsiTheme="minorHAnsi" w:cstheme="minorBidi"/>
            <w:noProof/>
            <w:szCs w:val="22"/>
          </w:rPr>
          <w:tab/>
        </w:r>
        <w:r w:rsidR="00324F9A" w:rsidRPr="00667C33">
          <w:rPr>
            <w:rStyle w:val="Hyperlink"/>
            <w:noProof/>
          </w:rPr>
          <w:t>La concurrence</w:t>
        </w:r>
        <w:r w:rsidR="00324F9A">
          <w:rPr>
            <w:noProof/>
            <w:webHidden/>
          </w:rPr>
          <w:tab/>
        </w:r>
        <w:r w:rsidR="00567BB5">
          <w:rPr>
            <w:noProof/>
            <w:webHidden/>
          </w:rPr>
          <w:fldChar w:fldCharType="begin"/>
        </w:r>
        <w:r w:rsidR="00324F9A">
          <w:rPr>
            <w:noProof/>
            <w:webHidden/>
          </w:rPr>
          <w:instrText xml:space="preserve"> PAGEREF _Toc454465583 \h </w:instrText>
        </w:r>
        <w:r w:rsidR="00567BB5">
          <w:rPr>
            <w:noProof/>
            <w:webHidden/>
          </w:rPr>
        </w:r>
        <w:r w:rsidR="00567BB5">
          <w:rPr>
            <w:noProof/>
            <w:webHidden/>
          </w:rPr>
          <w:fldChar w:fldCharType="separate"/>
        </w:r>
        <w:r>
          <w:rPr>
            <w:noProof/>
            <w:webHidden/>
          </w:rPr>
          <w:t>43</w:t>
        </w:r>
        <w:r w:rsidR="00567BB5">
          <w:rPr>
            <w:noProof/>
            <w:webHidden/>
          </w:rPr>
          <w:fldChar w:fldCharType="end"/>
        </w:r>
      </w:hyperlink>
    </w:p>
    <w:p w14:paraId="7FFC1A78" w14:textId="77777777" w:rsidR="00324F9A" w:rsidRDefault="00CB4331">
      <w:pPr>
        <w:pStyle w:val="TOC3"/>
        <w:tabs>
          <w:tab w:val="left" w:pos="1760"/>
        </w:tabs>
        <w:rPr>
          <w:rFonts w:asciiTheme="minorHAnsi" w:eastAsiaTheme="minorEastAsia" w:hAnsiTheme="minorHAnsi" w:cstheme="minorBidi"/>
          <w:noProof/>
          <w:szCs w:val="22"/>
        </w:rPr>
      </w:pPr>
      <w:hyperlink w:anchor="_Toc454465584" w:history="1">
        <w:r w:rsidR="00324F9A" w:rsidRPr="00667C33">
          <w:rPr>
            <w:rStyle w:val="Hyperlink"/>
            <w:noProof/>
          </w:rPr>
          <w:t>10.3.1</w:t>
        </w:r>
        <w:r w:rsidR="00324F9A">
          <w:rPr>
            <w:rFonts w:asciiTheme="minorHAnsi" w:eastAsiaTheme="minorEastAsia" w:hAnsiTheme="minorHAnsi" w:cstheme="minorBidi"/>
            <w:noProof/>
            <w:szCs w:val="22"/>
          </w:rPr>
          <w:tab/>
        </w:r>
        <w:r w:rsidR="00324F9A" w:rsidRPr="00667C33">
          <w:rPr>
            <w:rStyle w:val="Hyperlink"/>
            <w:noProof/>
          </w:rPr>
          <w:t>Les stratégies de domination par les coûts (les grands généralistes)</w:t>
        </w:r>
        <w:r w:rsidR="00324F9A">
          <w:rPr>
            <w:noProof/>
            <w:webHidden/>
          </w:rPr>
          <w:tab/>
        </w:r>
        <w:r w:rsidR="00567BB5">
          <w:rPr>
            <w:noProof/>
            <w:webHidden/>
          </w:rPr>
          <w:fldChar w:fldCharType="begin"/>
        </w:r>
        <w:r w:rsidR="00324F9A">
          <w:rPr>
            <w:noProof/>
            <w:webHidden/>
          </w:rPr>
          <w:instrText xml:space="preserve"> PAGEREF _Toc454465584 \h </w:instrText>
        </w:r>
        <w:r w:rsidR="00567BB5">
          <w:rPr>
            <w:noProof/>
            <w:webHidden/>
          </w:rPr>
        </w:r>
        <w:r w:rsidR="00567BB5">
          <w:rPr>
            <w:noProof/>
            <w:webHidden/>
          </w:rPr>
          <w:fldChar w:fldCharType="separate"/>
        </w:r>
        <w:r>
          <w:rPr>
            <w:noProof/>
            <w:webHidden/>
          </w:rPr>
          <w:t>44</w:t>
        </w:r>
        <w:r w:rsidR="00567BB5">
          <w:rPr>
            <w:noProof/>
            <w:webHidden/>
          </w:rPr>
          <w:fldChar w:fldCharType="end"/>
        </w:r>
      </w:hyperlink>
    </w:p>
    <w:p w14:paraId="7FFC1A79" w14:textId="77777777" w:rsidR="00324F9A" w:rsidRDefault="00CB4331">
      <w:pPr>
        <w:pStyle w:val="TOC3"/>
        <w:tabs>
          <w:tab w:val="left" w:pos="1760"/>
        </w:tabs>
        <w:rPr>
          <w:rFonts w:asciiTheme="minorHAnsi" w:eastAsiaTheme="minorEastAsia" w:hAnsiTheme="minorHAnsi" w:cstheme="minorBidi"/>
          <w:noProof/>
          <w:szCs w:val="22"/>
        </w:rPr>
      </w:pPr>
      <w:hyperlink w:anchor="_Toc454465585" w:history="1">
        <w:r w:rsidR="00324F9A" w:rsidRPr="00667C33">
          <w:rPr>
            <w:rStyle w:val="Hyperlink"/>
            <w:noProof/>
          </w:rPr>
          <w:t>10.3.2</w:t>
        </w:r>
        <w:r w:rsidR="00324F9A">
          <w:rPr>
            <w:rFonts w:asciiTheme="minorHAnsi" w:eastAsiaTheme="minorEastAsia" w:hAnsiTheme="minorHAnsi" w:cstheme="minorBidi"/>
            <w:noProof/>
            <w:szCs w:val="22"/>
          </w:rPr>
          <w:tab/>
        </w:r>
        <w:r w:rsidR="00324F9A" w:rsidRPr="00667C33">
          <w:rPr>
            <w:rStyle w:val="Hyperlink"/>
            <w:noProof/>
          </w:rPr>
          <w:t>Les stratégies de différenciation (les talents)</w:t>
        </w:r>
        <w:r w:rsidR="00324F9A">
          <w:rPr>
            <w:noProof/>
            <w:webHidden/>
          </w:rPr>
          <w:tab/>
        </w:r>
        <w:r w:rsidR="00567BB5">
          <w:rPr>
            <w:noProof/>
            <w:webHidden/>
          </w:rPr>
          <w:fldChar w:fldCharType="begin"/>
        </w:r>
        <w:r w:rsidR="00324F9A">
          <w:rPr>
            <w:noProof/>
            <w:webHidden/>
          </w:rPr>
          <w:instrText xml:space="preserve"> PAGEREF _Toc454465585 \h </w:instrText>
        </w:r>
        <w:r w:rsidR="00567BB5">
          <w:rPr>
            <w:noProof/>
            <w:webHidden/>
          </w:rPr>
        </w:r>
        <w:r w:rsidR="00567BB5">
          <w:rPr>
            <w:noProof/>
            <w:webHidden/>
          </w:rPr>
          <w:fldChar w:fldCharType="separate"/>
        </w:r>
        <w:r>
          <w:rPr>
            <w:noProof/>
            <w:webHidden/>
          </w:rPr>
          <w:t>44</w:t>
        </w:r>
        <w:r w:rsidR="00567BB5">
          <w:rPr>
            <w:noProof/>
            <w:webHidden/>
          </w:rPr>
          <w:fldChar w:fldCharType="end"/>
        </w:r>
      </w:hyperlink>
    </w:p>
    <w:p w14:paraId="7FFC1A7A" w14:textId="77777777" w:rsidR="00324F9A" w:rsidRDefault="00CB4331">
      <w:pPr>
        <w:pStyle w:val="TOC3"/>
        <w:tabs>
          <w:tab w:val="left" w:pos="1760"/>
        </w:tabs>
        <w:rPr>
          <w:rFonts w:asciiTheme="minorHAnsi" w:eastAsiaTheme="minorEastAsia" w:hAnsiTheme="minorHAnsi" w:cstheme="minorBidi"/>
          <w:noProof/>
          <w:szCs w:val="22"/>
        </w:rPr>
      </w:pPr>
      <w:hyperlink w:anchor="_Toc454465586" w:history="1">
        <w:r w:rsidR="00324F9A" w:rsidRPr="00667C33">
          <w:rPr>
            <w:rStyle w:val="Hyperlink"/>
            <w:noProof/>
          </w:rPr>
          <w:t>10.3.3</w:t>
        </w:r>
        <w:r w:rsidR="00324F9A">
          <w:rPr>
            <w:rFonts w:asciiTheme="minorHAnsi" w:eastAsiaTheme="minorEastAsia" w:hAnsiTheme="minorHAnsi" w:cstheme="minorBidi"/>
            <w:noProof/>
            <w:szCs w:val="22"/>
          </w:rPr>
          <w:tab/>
        </w:r>
        <w:r w:rsidR="00324F9A" w:rsidRPr="00667C33">
          <w:rPr>
            <w:rStyle w:val="Hyperlink"/>
            <w:noProof/>
          </w:rPr>
          <w:t>Les stratégies de focalisation (les spécialistes et les experts)</w:t>
        </w:r>
        <w:r w:rsidR="00324F9A">
          <w:rPr>
            <w:noProof/>
            <w:webHidden/>
          </w:rPr>
          <w:tab/>
        </w:r>
        <w:r w:rsidR="00567BB5">
          <w:rPr>
            <w:noProof/>
            <w:webHidden/>
          </w:rPr>
          <w:fldChar w:fldCharType="begin"/>
        </w:r>
        <w:r w:rsidR="00324F9A">
          <w:rPr>
            <w:noProof/>
            <w:webHidden/>
          </w:rPr>
          <w:instrText xml:space="preserve"> PAGEREF _Toc454465586 \h </w:instrText>
        </w:r>
        <w:r w:rsidR="00567BB5">
          <w:rPr>
            <w:noProof/>
            <w:webHidden/>
          </w:rPr>
        </w:r>
        <w:r w:rsidR="00567BB5">
          <w:rPr>
            <w:noProof/>
            <w:webHidden/>
          </w:rPr>
          <w:fldChar w:fldCharType="separate"/>
        </w:r>
        <w:r>
          <w:rPr>
            <w:noProof/>
            <w:webHidden/>
          </w:rPr>
          <w:t>44</w:t>
        </w:r>
        <w:r w:rsidR="00567BB5">
          <w:rPr>
            <w:noProof/>
            <w:webHidden/>
          </w:rPr>
          <w:fldChar w:fldCharType="end"/>
        </w:r>
      </w:hyperlink>
    </w:p>
    <w:p w14:paraId="7FFC1A7B" w14:textId="77777777" w:rsidR="00324F9A" w:rsidRDefault="00CB4331">
      <w:pPr>
        <w:pStyle w:val="TOC4"/>
        <w:tabs>
          <w:tab w:val="left" w:pos="1760"/>
          <w:tab w:val="right" w:leader="underscore" w:pos="14560"/>
        </w:tabs>
        <w:rPr>
          <w:rFonts w:asciiTheme="minorHAnsi" w:eastAsiaTheme="minorEastAsia" w:hAnsiTheme="minorHAnsi" w:cstheme="minorBidi"/>
          <w:noProof/>
          <w:szCs w:val="22"/>
        </w:rPr>
      </w:pPr>
      <w:hyperlink w:anchor="_Toc454465587" w:history="1">
        <w:r w:rsidR="00324F9A" w:rsidRPr="00667C33">
          <w:rPr>
            <w:rStyle w:val="Hyperlink"/>
            <w:noProof/>
          </w:rPr>
          <w:t>10.3.3.1</w:t>
        </w:r>
        <w:r w:rsidR="00324F9A">
          <w:rPr>
            <w:rFonts w:asciiTheme="minorHAnsi" w:eastAsiaTheme="minorEastAsia" w:hAnsiTheme="minorHAnsi" w:cstheme="minorBidi"/>
            <w:noProof/>
            <w:szCs w:val="22"/>
          </w:rPr>
          <w:tab/>
        </w:r>
        <w:r w:rsidR="00324F9A" w:rsidRPr="00667C33">
          <w:rPr>
            <w:rStyle w:val="Hyperlink"/>
            <w:noProof/>
          </w:rPr>
          <w:t>Stratégies de niche</w:t>
        </w:r>
        <w:r w:rsidR="00324F9A">
          <w:rPr>
            <w:noProof/>
            <w:webHidden/>
          </w:rPr>
          <w:tab/>
        </w:r>
        <w:r w:rsidR="00567BB5">
          <w:rPr>
            <w:noProof/>
            <w:webHidden/>
          </w:rPr>
          <w:fldChar w:fldCharType="begin"/>
        </w:r>
        <w:r w:rsidR="00324F9A">
          <w:rPr>
            <w:noProof/>
            <w:webHidden/>
          </w:rPr>
          <w:instrText xml:space="preserve"> PAGEREF _Toc454465587 \h </w:instrText>
        </w:r>
        <w:r w:rsidR="00567BB5">
          <w:rPr>
            <w:noProof/>
            <w:webHidden/>
          </w:rPr>
        </w:r>
        <w:r w:rsidR="00567BB5">
          <w:rPr>
            <w:noProof/>
            <w:webHidden/>
          </w:rPr>
          <w:fldChar w:fldCharType="separate"/>
        </w:r>
        <w:r>
          <w:rPr>
            <w:noProof/>
            <w:webHidden/>
          </w:rPr>
          <w:t>44</w:t>
        </w:r>
        <w:r w:rsidR="00567BB5">
          <w:rPr>
            <w:noProof/>
            <w:webHidden/>
          </w:rPr>
          <w:fldChar w:fldCharType="end"/>
        </w:r>
      </w:hyperlink>
    </w:p>
    <w:p w14:paraId="7FFC1A7C" w14:textId="77777777" w:rsidR="00324F9A" w:rsidRDefault="00CB4331">
      <w:pPr>
        <w:pStyle w:val="TOC4"/>
        <w:tabs>
          <w:tab w:val="left" w:pos="1760"/>
          <w:tab w:val="right" w:leader="underscore" w:pos="14560"/>
        </w:tabs>
        <w:rPr>
          <w:rFonts w:asciiTheme="minorHAnsi" w:eastAsiaTheme="minorEastAsia" w:hAnsiTheme="minorHAnsi" w:cstheme="minorBidi"/>
          <w:noProof/>
          <w:szCs w:val="22"/>
        </w:rPr>
      </w:pPr>
      <w:hyperlink w:anchor="_Toc454465588" w:history="1">
        <w:r w:rsidR="00324F9A" w:rsidRPr="00667C33">
          <w:rPr>
            <w:rStyle w:val="Hyperlink"/>
            <w:noProof/>
          </w:rPr>
          <w:t>10.3.3.2</w:t>
        </w:r>
        <w:r w:rsidR="00324F9A">
          <w:rPr>
            <w:rFonts w:asciiTheme="minorHAnsi" w:eastAsiaTheme="minorEastAsia" w:hAnsiTheme="minorHAnsi" w:cstheme="minorBidi"/>
            <w:noProof/>
            <w:szCs w:val="22"/>
          </w:rPr>
          <w:tab/>
        </w:r>
        <w:r w:rsidR="00324F9A" w:rsidRPr="00667C33">
          <w:rPr>
            <w:rStyle w:val="Hyperlink"/>
            <w:noProof/>
          </w:rPr>
          <w:t>Stratégies de focalisation plus large</w:t>
        </w:r>
        <w:r w:rsidR="00324F9A">
          <w:rPr>
            <w:noProof/>
            <w:webHidden/>
          </w:rPr>
          <w:tab/>
        </w:r>
        <w:r w:rsidR="00567BB5">
          <w:rPr>
            <w:noProof/>
            <w:webHidden/>
          </w:rPr>
          <w:fldChar w:fldCharType="begin"/>
        </w:r>
        <w:r w:rsidR="00324F9A">
          <w:rPr>
            <w:noProof/>
            <w:webHidden/>
          </w:rPr>
          <w:instrText xml:space="preserve"> PAGEREF _Toc454465588 \h </w:instrText>
        </w:r>
        <w:r w:rsidR="00567BB5">
          <w:rPr>
            <w:noProof/>
            <w:webHidden/>
          </w:rPr>
        </w:r>
        <w:r w:rsidR="00567BB5">
          <w:rPr>
            <w:noProof/>
            <w:webHidden/>
          </w:rPr>
          <w:fldChar w:fldCharType="separate"/>
        </w:r>
        <w:r>
          <w:rPr>
            <w:noProof/>
            <w:webHidden/>
          </w:rPr>
          <w:t>44</w:t>
        </w:r>
        <w:r w:rsidR="00567BB5">
          <w:rPr>
            <w:noProof/>
            <w:webHidden/>
          </w:rPr>
          <w:fldChar w:fldCharType="end"/>
        </w:r>
      </w:hyperlink>
    </w:p>
    <w:p w14:paraId="7FFC1A7D" w14:textId="77777777" w:rsidR="00324F9A" w:rsidRDefault="00CB4331">
      <w:pPr>
        <w:pStyle w:val="TOC3"/>
        <w:tabs>
          <w:tab w:val="left" w:pos="1760"/>
        </w:tabs>
        <w:rPr>
          <w:rFonts w:asciiTheme="minorHAnsi" w:eastAsiaTheme="minorEastAsia" w:hAnsiTheme="minorHAnsi" w:cstheme="minorBidi"/>
          <w:noProof/>
          <w:szCs w:val="22"/>
        </w:rPr>
      </w:pPr>
      <w:hyperlink w:anchor="_Toc454465589" w:history="1">
        <w:r w:rsidR="00324F9A" w:rsidRPr="00667C33">
          <w:rPr>
            <w:rStyle w:val="Hyperlink"/>
            <w:noProof/>
          </w:rPr>
          <w:t>10.3.4</w:t>
        </w:r>
        <w:r w:rsidR="00324F9A">
          <w:rPr>
            <w:rFonts w:asciiTheme="minorHAnsi" w:eastAsiaTheme="minorEastAsia" w:hAnsiTheme="minorHAnsi" w:cstheme="minorBidi"/>
            <w:noProof/>
            <w:szCs w:val="22"/>
          </w:rPr>
          <w:tab/>
        </w:r>
        <w:r w:rsidR="00324F9A" w:rsidRPr="00667C33">
          <w:rPr>
            <w:rStyle w:val="Hyperlink"/>
            <w:noProof/>
          </w:rPr>
          <w:t>Les stratégies mixtes (les petits généralistes)</w:t>
        </w:r>
        <w:r w:rsidR="00324F9A">
          <w:rPr>
            <w:noProof/>
            <w:webHidden/>
          </w:rPr>
          <w:tab/>
        </w:r>
        <w:r w:rsidR="00567BB5">
          <w:rPr>
            <w:noProof/>
            <w:webHidden/>
          </w:rPr>
          <w:fldChar w:fldCharType="begin"/>
        </w:r>
        <w:r w:rsidR="00324F9A">
          <w:rPr>
            <w:noProof/>
            <w:webHidden/>
          </w:rPr>
          <w:instrText xml:space="preserve"> PAGEREF _Toc454465589 \h </w:instrText>
        </w:r>
        <w:r w:rsidR="00567BB5">
          <w:rPr>
            <w:noProof/>
            <w:webHidden/>
          </w:rPr>
        </w:r>
        <w:r w:rsidR="00567BB5">
          <w:rPr>
            <w:noProof/>
            <w:webHidden/>
          </w:rPr>
          <w:fldChar w:fldCharType="separate"/>
        </w:r>
        <w:r>
          <w:rPr>
            <w:noProof/>
            <w:webHidden/>
          </w:rPr>
          <w:t>45</w:t>
        </w:r>
        <w:r w:rsidR="00567BB5">
          <w:rPr>
            <w:noProof/>
            <w:webHidden/>
          </w:rPr>
          <w:fldChar w:fldCharType="end"/>
        </w:r>
      </w:hyperlink>
    </w:p>
    <w:p w14:paraId="7FFC1A7E" w14:textId="77777777" w:rsidR="00324F9A" w:rsidRDefault="00CB4331">
      <w:pPr>
        <w:pStyle w:val="TOC2"/>
        <w:tabs>
          <w:tab w:val="left" w:pos="1320"/>
        </w:tabs>
        <w:rPr>
          <w:rFonts w:asciiTheme="minorHAnsi" w:eastAsiaTheme="minorEastAsia" w:hAnsiTheme="minorHAnsi" w:cstheme="minorBidi"/>
          <w:noProof/>
          <w:szCs w:val="22"/>
        </w:rPr>
      </w:pPr>
      <w:hyperlink w:anchor="_Toc454465590" w:history="1">
        <w:r w:rsidR="00324F9A" w:rsidRPr="00667C33">
          <w:rPr>
            <w:rStyle w:val="Hyperlink"/>
            <w:noProof/>
          </w:rPr>
          <w:t>10.4</w:t>
        </w:r>
        <w:r w:rsidR="00324F9A">
          <w:rPr>
            <w:rFonts w:asciiTheme="minorHAnsi" w:eastAsiaTheme="minorEastAsia" w:hAnsiTheme="minorHAnsi" w:cstheme="minorBidi"/>
            <w:noProof/>
            <w:szCs w:val="22"/>
          </w:rPr>
          <w:tab/>
        </w:r>
        <w:r w:rsidR="00324F9A" w:rsidRPr="00667C33">
          <w:rPr>
            <w:rStyle w:val="Hyperlink"/>
            <w:noProof/>
          </w:rPr>
          <w:t>Entrants potentiels</w:t>
        </w:r>
        <w:r w:rsidR="00324F9A">
          <w:rPr>
            <w:noProof/>
            <w:webHidden/>
          </w:rPr>
          <w:tab/>
        </w:r>
        <w:r w:rsidR="00567BB5">
          <w:rPr>
            <w:noProof/>
            <w:webHidden/>
          </w:rPr>
          <w:fldChar w:fldCharType="begin"/>
        </w:r>
        <w:r w:rsidR="00324F9A">
          <w:rPr>
            <w:noProof/>
            <w:webHidden/>
          </w:rPr>
          <w:instrText xml:space="preserve"> PAGEREF _Toc454465590 \h </w:instrText>
        </w:r>
        <w:r w:rsidR="00567BB5">
          <w:rPr>
            <w:noProof/>
            <w:webHidden/>
          </w:rPr>
        </w:r>
        <w:r w:rsidR="00567BB5">
          <w:rPr>
            <w:noProof/>
            <w:webHidden/>
          </w:rPr>
          <w:fldChar w:fldCharType="separate"/>
        </w:r>
        <w:r>
          <w:rPr>
            <w:noProof/>
            <w:webHidden/>
          </w:rPr>
          <w:t>45</w:t>
        </w:r>
        <w:r w:rsidR="00567BB5">
          <w:rPr>
            <w:noProof/>
            <w:webHidden/>
          </w:rPr>
          <w:fldChar w:fldCharType="end"/>
        </w:r>
      </w:hyperlink>
    </w:p>
    <w:p w14:paraId="7FFC1A7F" w14:textId="77777777" w:rsidR="00324F9A" w:rsidRDefault="00CB4331">
      <w:pPr>
        <w:pStyle w:val="TOC2"/>
        <w:tabs>
          <w:tab w:val="left" w:pos="1320"/>
        </w:tabs>
        <w:rPr>
          <w:rFonts w:asciiTheme="minorHAnsi" w:eastAsiaTheme="minorEastAsia" w:hAnsiTheme="minorHAnsi" w:cstheme="minorBidi"/>
          <w:noProof/>
          <w:szCs w:val="22"/>
        </w:rPr>
      </w:pPr>
      <w:hyperlink w:anchor="_Toc454465591" w:history="1">
        <w:r w:rsidR="00324F9A" w:rsidRPr="00667C33">
          <w:rPr>
            <w:rStyle w:val="Hyperlink"/>
            <w:noProof/>
          </w:rPr>
          <w:t>10.5</w:t>
        </w:r>
        <w:r w:rsidR="00324F9A">
          <w:rPr>
            <w:rFonts w:asciiTheme="minorHAnsi" w:eastAsiaTheme="minorEastAsia" w:hAnsiTheme="minorHAnsi" w:cstheme="minorBidi"/>
            <w:noProof/>
            <w:szCs w:val="22"/>
          </w:rPr>
          <w:tab/>
        </w:r>
        <w:r w:rsidR="00324F9A" w:rsidRPr="00667C33">
          <w:rPr>
            <w:rStyle w:val="Hyperlink"/>
            <w:noProof/>
          </w:rPr>
          <w:t>Substituts</w:t>
        </w:r>
        <w:r w:rsidR="00324F9A">
          <w:rPr>
            <w:noProof/>
            <w:webHidden/>
          </w:rPr>
          <w:tab/>
        </w:r>
        <w:r w:rsidR="00567BB5">
          <w:rPr>
            <w:noProof/>
            <w:webHidden/>
          </w:rPr>
          <w:fldChar w:fldCharType="begin"/>
        </w:r>
        <w:r w:rsidR="00324F9A">
          <w:rPr>
            <w:noProof/>
            <w:webHidden/>
          </w:rPr>
          <w:instrText xml:space="preserve"> PAGEREF _Toc454465591 \h </w:instrText>
        </w:r>
        <w:r w:rsidR="00567BB5">
          <w:rPr>
            <w:noProof/>
            <w:webHidden/>
          </w:rPr>
        </w:r>
        <w:r w:rsidR="00567BB5">
          <w:rPr>
            <w:noProof/>
            <w:webHidden/>
          </w:rPr>
          <w:fldChar w:fldCharType="separate"/>
        </w:r>
        <w:r>
          <w:rPr>
            <w:noProof/>
            <w:webHidden/>
          </w:rPr>
          <w:t>45</w:t>
        </w:r>
        <w:r w:rsidR="00567BB5">
          <w:rPr>
            <w:noProof/>
            <w:webHidden/>
          </w:rPr>
          <w:fldChar w:fldCharType="end"/>
        </w:r>
      </w:hyperlink>
    </w:p>
    <w:p w14:paraId="7FFC1A80" w14:textId="77777777" w:rsidR="00324F9A" w:rsidRDefault="00CB4331">
      <w:pPr>
        <w:pStyle w:val="TOC2"/>
        <w:tabs>
          <w:tab w:val="left" w:pos="1320"/>
        </w:tabs>
        <w:rPr>
          <w:rFonts w:asciiTheme="minorHAnsi" w:eastAsiaTheme="minorEastAsia" w:hAnsiTheme="minorHAnsi" w:cstheme="minorBidi"/>
          <w:noProof/>
          <w:szCs w:val="22"/>
        </w:rPr>
      </w:pPr>
      <w:hyperlink w:anchor="_Toc454465592" w:history="1">
        <w:r w:rsidR="00324F9A" w:rsidRPr="00667C33">
          <w:rPr>
            <w:rStyle w:val="Hyperlink"/>
            <w:noProof/>
          </w:rPr>
          <w:t>10.6</w:t>
        </w:r>
        <w:r w:rsidR="00324F9A">
          <w:rPr>
            <w:rFonts w:asciiTheme="minorHAnsi" w:eastAsiaTheme="minorEastAsia" w:hAnsiTheme="minorHAnsi" w:cstheme="minorBidi"/>
            <w:noProof/>
            <w:szCs w:val="22"/>
          </w:rPr>
          <w:tab/>
        </w:r>
        <w:r w:rsidR="00324F9A" w:rsidRPr="00667C33">
          <w:rPr>
            <w:rStyle w:val="Hyperlink"/>
            <w:noProof/>
          </w:rPr>
          <w:t>Le cadre réglementaire lié aux systèmes d’information</w:t>
        </w:r>
        <w:r w:rsidR="00324F9A">
          <w:rPr>
            <w:noProof/>
            <w:webHidden/>
          </w:rPr>
          <w:tab/>
        </w:r>
        <w:r w:rsidR="00567BB5">
          <w:rPr>
            <w:noProof/>
            <w:webHidden/>
          </w:rPr>
          <w:fldChar w:fldCharType="begin"/>
        </w:r>
        <w:r w:rsidR="00324F9A">
          <w:rPr>
            <w:noProof/>
            <w:webHidden/>
          </w:rPr>
          <w:instrText xml:space="preserve"> PAGEREF _Toc454465592 \h </w:instrText>
        </w:r>
        <w:r w:rsidR="00567BB5">
          <w:rPr>
            <w:noProof/>
            <w:webHidden/>
          </w:rPr>
        </w:r>
        <w:r w:rsidR="00567BB5">
          <w:rPr>
            <w:noProof/>
            <w:webHidden/>
          </w:rPr>
          <w:fldChar w:fldCharType="separate"/>
        </w:r>
        <w:r>
          <w:rPr>
            <w:noProof/>
            <w:webHidden/>
          </w:rPr>
          <w:t>45</w:t>
        </w:r>
        <w:r w:rsidR="00567BB5">
          <w:rPr>
            <w:noProof/>
            <w:webHidden/>
          </w:rPr>
          <w:fldChar w:fldCharType="end"/>
        </w:r>
      </w:hyperlink>
    </w:p>
    <w:p w14:paraId="7FFC1A81" w14:textId="77777777" w:rsidR="00324F9A" w:rsidRDefault="00CB4331">
      <w:pPr>
        <w:pStyle w:val="TOC3"/>
        <w:tabs>
          <w:tab w:val="left" w:pos="1760"/>
        </w:tabs>
        <w:rPr>
          <w:rFonts w:asciiTheme="minorHAnsi" w:eastAsiaTheme="minorEastAsia" w:hAnsiTheme="minorHAnsi" w:cstheme="minorBidi"/>
          <w:noProof/>
          <w:szCs w:val="22"/>
        </w:rPr>
      </w:pPr>
      <w:hyperlink w:anchor="_Toc454465593" w:history="1">
        <w:r w:rsidR="00324F9A" w:rsidRPr="00667C33">
          <w:rPr>
            <w:rStyle w:val="Hyperlink"/>
            <w:noProof/>
          </w:rPr>
          <w:t>10.6.1</w:t>
        </w:r>
        <w:r w:rsidR="00324F9A">
          <w:rPr>
            <w:rFonts w:asciiTheme="minorHAnsi" w:eastAsiaTheme="minorEastAsia" w:hAnsiTheme="minorHAnsi" w:cstheme="minorBidi"/>
            <w:noProof/>
            <w:szCs w:val="22"/>
          </w:rPr>
          <w:tab/>
        </w:r>
        <w:r w:rsidR="00324F9A" w:rsidRPr="00667C33">
          <w:rPr>
            <w:rStyle w:val="Hyperlink"/>
            <w:noProof/>
          </w:rPr>
          <w:t>Les sources de droit</w:t>
        </w:r>
        <w:r w:rsidR="00324F9A">
          <w:rPr>
            <w:noProof/>
            <w:webHidden/>
          </w:rPr>
          <w:tab/>
        </w:r>
        <w:r w:rsidR="00567BB5">
          <w:rPr>
            <w:noProof/>
            <w:webHidden/>
          </w:rPr>
          <w:fldChar w:fldCharType="begin"/>
        </w:r>
        <w:r w:rsidR="00324F9A">
          <w:rPr>
            <w:noProof/>
            <w:webHidden/>
          </w:rPr>
          <w:instrText xml:space="preserve"> PAGEREF _Toc454465593 \h </w:instrText>
        </w:r>
        <w:r w:rsidR="00567BB5">
          <w:rPr>
            <w:noProof/>
            <w:webHidden/>
          </w:rPr>
        </w:r>
        <w:r w:rsidR="00567BB5">
          <w:rPr>
            <w:noProof/>
            <w:webHidden/>
          </w:rPr>
          <w:fldChar w:fldCharType="separate"/>
        </w:r>
        <w:r>
          <w:rPr>
            <w:noProof/>
            <w:webHidden/>
          </w:rPr>
          <w:t>45</w:t>
        </w:r>
        <w:r w:rsidR="00567BB5">
          <w:rPr>
            <w:noProof/>
            <w:webHidden/>
          </w:rPr>
          <w:fldChar w:fldCharType="end"/>
        </w:r>
      </w:hyperlink>
    </w:p>
    <w:p w14:paraId="7FFC1A82" w14:textId="77777777" w:rsidR="00324F9A" w:rsidRDefault="00CB4331">
      <w:pPr>
        <w:pStyle w:val="TOC3"/>
        <w:tabs>
          <w:tab w:val="left" w:pos="1760"/>
        </w:tabs>
        <w:rPr>
          <w:rFonts w:asciiTheme="minorHAnsi" w:eastAsiaTheme="minorEastAsia" w:hAnsiTheme="minorHAnsi" w:cstheme="minorBidi"/>
          <w:noProof/>
          <w:szCs w:val="22"/>
        </w:rPr>
      </w:pPr>
      <w:hyperlink w:anchor="_Toc454465594" w:history="1">
        <w:r w:rsidR="00324F9A" w:rsidRPr="00667C33">
          <w:rPr>
            <w:rStyle w:val="Hyperlink"/>
            <w:noProof/>
          </w:rPr>
          <w:t>10.6.2</w:t>
        </w:r>
        <w:r w:rsidR="00324F9A">
          <w:rPr>
            <w:rFonts w:asciiTheme="minorHAnsi" w:eastAsiaTheme="minorEastAsia" w:hAnsiTheme="minorHAnsi" w:cstheme="minorBidi"/>
            <w:noProof/>
            <w:szCs w:val="22"/>
          </w:rPr>
          <w:tab/>
        </w:r>
        <w:r w:rsidR="00324F9A" w:rsidRPr="00667C33">
          <w:rPr>
            <w:rStyle w:val="Hyperlink"/>
            <w:noProof/>
          </w:rPr>
          <w:t>Les menaces juridiques</w:t>
        </w:r>
        <w:r w:rsidR="00324F9A">
          <w:rPr>
            <w:noProof/>
            <w:webHidden/>
          </w:rPr>
          <w:tab/>
        </w:r>
        <w:r w:rsidR="00567BB5">
          <w:rPr>
            <w:noProof/>
            <w:webHidden/>
          </w:rPr>
          <w:fldChar w:fldCharType="begin"/>
        </w:r>
        <w:r w:rsidR="00324F9A">
          <w:rPr>
            <w:noProof/>
            <w:webHidden/>
          </w:rPr>
          <w:instrText xml:space="preserve"> PAGEREF _Toc454465594 \h </w:instrText>
        </w:r>
        <w:r w:rsidR="00567BB5">
          <w:rPr>
            <w:noProof/>
            <w:webHidden/>
          </w:rPr>
        </w:r>
        <w:r w:rsidR="00567BB5">
          <w:rPr>
            <w:noProof/>
            <w:webHidden/>
          </w:rPr>
          <w:fldChar w:fldCharType="separate"/>
        </w:r>
        <w:r>
          <w:rPr>
            <w:noProof/>
            <w:webHidden/>
          </w:rPr>
          <w:t>46</w:t>
        </w:r>
        <w:r w:rsidR="00567BB5">
          <w:rPr>
            <w:noProof/>
            <w:webHidden/>
          </w:rPr>
          <w:fldChar w:fldCharType="end"/>
        </w:r>
      </w:hyperlink>
    </w:p>
    <w:p w14:paraId="7FFC1A83" w14:textId="77777777" w:rsidR="00324F9A" w:rsidRDefault="00CB4331">
      <w:pPr>
        <w:pStyle w:val="TOC3"/>
        <w:tabs>
          <w:tab w:val="left" w:pos="1760"/>
        </w:tabs>
        <w:rPr>
          <w:rFonts w:asciiTheme="minorHAnsi" w:eastAsiaTheme="minorEastAsia" w:hAnsiTheme="minorHAnsi" w:cstheme="minorBidi"/>
          <w:noProof/>
          <w:szCs w:val="22"/>
        </w:rPr>
      </w:pPr>
      <w:hyperlink w:anchor="_Toc454465595" w:history="1">
        <w:r w:rsidR="00324F9A" w:rsidRPr="00667C33">
          <w:rPr>
            <w:rStyle w:val="Hyperlink"/>
            <w:noProof/>
          </w:rPr>
          <w:t>10.6.3</w:t>
        </w:r>
        <w:r w:rsidR="00324F9A">
          <w:rPr>
            <w:rFonts w:asciiTheme="minorHAnsi" w:eastAsiaTheme="minorEastAsia" w:hAnsiTheme="minorHAnsi" w:cstheme="minorBidi"/>
            <w:noProof/>
            <w:szCs w:val="22"/>
          </w:rPr>
          <w:tab/>
        </w:r>
        <w:r w:rsidR="00324F9A" w:rsidRPr="00667C33">
          <w:rPr>
            <w:rStyle w:val="Hyperlink"/>
            <w:noProof/>
          </w:rPr>
          <w:t>Protection contre les menaces</w:t>
        </w:r>
        <w:r w:rsidR="00324F9A">
          <w:rPr>
            <w:noProof/>
            <w:webHidden/>
          </w:rPr>
          <w:tab/>
        </w:r>
        <w:r w:rsidR="00567BB5">
          <w:rPr>
            <w:noProof/>
            <w:webHidden/>
          </w:rPr>
          <w:fldChar w:fldCharType="begin"/>
        </w:r>
        <w:r w:rsidR="00324F9A">
          <w:rPr>
            <w:noProof/>
            <w:webHidden/>
          </w:rPr>
          <w:instrText xml:space="preserve"> PAGEREF _Toc454465595 \h </w:instrText>
        </w:r>
        <w:r w:rsidR="00567BB5">
          <w:rPr>
            <w:noProof/>
            <w:webHidden/>
          </w:rPr>
        </w:r>
        <w:r w:rsidR="00567BB5">
          <w:rPr>
            <w:noProof/>
            <w:webHidden/>
          </w:rPr>
          <w:fldChar w:fldCharType="separate"/>
        </w:r>
        <w:r>
          <w:rPr>
            <w:noProof/>
            <w:webHidden/>
          </w:rPr>
          <w:t>46</w:t>
        </w:r>
        <w:r w:rsidR="00567BB5">
          <w:rPr>
            <w:noProof/>
            <w:webHidden/>
          </w:rPr>
          <w:fldChar w:fldCharType="end"/>
        </w:r>
      </w:hyperlink>
    </w:p>
    <w:p w14:paraId="7FFC1A84" w14:textId="77777777" w:rsidR="00324F9A" w:rsidRDefault="00CB4331">
      <w:pPr>
        <w:pStyle w:val="TOC1"/>
        <w:rPr>
          <w:rFonts w:asciiTheme="minorHAnsi" w:eastAsiaTheme="minorEastAsia" w:hAnsiTheme="minorHAnsi" w:cstheme="minorBidi"/>
          <w:noProof/>
          <w:szCs w:val="22"/>
        </w:rPr>
      </w:pPr>
      <w:hyperlink w:anchor="_Toc454465596" w:history="1">
        <w:r w:rsidR="00324F9A" w:rsidRPr="00667C33">
          <w:rPr>
            <w:rStyle w:val="Hyperlink"/>
            <w:noProof/>
          </w:rPr>
          <w:t>11</w:t>
        </w:r>
        <w:r w:rsidR="00324F9A">
          <w:rPr>
            <w:rFonts w:asciiTheme="minorHAnsi" w:eastAsiaTheme="minorEastAsia" w:hAnsiTheme="minorHAnsi" w:cstheme="minorBidi"/>
            <w:noProof/>
            <w:szCs w:val="22"/>
          </w:rPr>
          <w:tab/>
        </w:r>
        <w:r w:rsidR="00324F9A" w:rsidRPr="00667C33">
          <w:rPr>
            <w:rStyle w:val="Hyperlink"/>
            <w:noProof/>
          </w:rPr>
          <w:t>Forces, Faiblesses, Opportunités et Menaces (SWOT)</w:t>
        </w:r>
        <w:r w:rsidR="00324F9A">
          <w:rPr>
            <w:noProof/>
            <w:webHidden/>
          </w:rPr>
          <w:tab/>
        </w:r>
        <w:r w:rsidR="00567BB5">
          <w:rPr>
            <w:noProof/>
            <w:webHidden/>
          </w:rPr>
          <w:fldChar w:fldCharType="begin"/>
        </w:r>
        <w:r w:rsidR="00324F9A">
          <w:rPr>
            <w:noProof/>
            <w:webHidden/>
          </w:rPr>
          <w:instrText xml:space="preserve"> PAGEREF _Toc454465596 \h </w:instrText>
        </w:r>
        <w:r w:rsidR="00567BB5">
          <w:rPr>
            <w:noProof/>
            <w:webHidden/>
          </w:rPr>
        </w:r>
        <w:r w:rsidR="00567BB5">
          <w:rPr>
            <w:noProof/>
            <w:webHidden/>
          </w:rPr>
          <w:fldChar w:fldCharType="separate"/>
        </w:r>
        <w:r>
          <w:rPr>
            <w:noProof/>
            <w:webHidden/>
          </w:rPr>
          <w:t>48</w:t>
        </w:r>
        <w:r w:rsidR="00567BB5">
          <w:rPr>
            <w:noProof/>
            <w:webHidden/>
          </w:rPr>
          <w:fldChar w:fldCharType="end"/>
        </w:r>
      </w:hyperlink>
    </w:p>
    <w:p w14:paraId="7FFC1A85" w14:textId="77777777" w:rsidR="00324F9A" w:rsidRDefault="00CB4331">
      <w:pPr>
        <w:pStyle w:val="TOC1"/>
        <w:rPr>
          <w:rFonts w:asciiTheme="minorHAnsi" w:eastAsiaTheme="minorEastAsia" w:hAnsiTheme="minorHAnsi" w:cstheme="minorBidi"/>
          <w:noProof/>
          <w:szCs w:val="22"/>
        </w:rPr>
      </w:pPr>
      <w:hyperlink w:anchor="_Toc454465597" w:history="1">
        <w:r w:rsidR="00324F9A" w:rsidRPr="00667C33">
          <w:rPr>
            <w:rStyle w:val="Hyperlink"/>
            <w:noProof/>
          </w:rPr>
          <w:t>12</w:t>
        </w:r>
        <w:r w:rsidR="00324F9A">
          <w:rPr>
            <w:rFonts w:asciiTheme="minorHAnsi" w:eastAsiaTheme="minorEastAsia" w:hAnsiTheme="minorHAnsi" w:cstheme="minorBidi"/>
            <w:noProof/>
            <w:szCs w:val="22"/>
          </w:rPr>
          <w:tab/>
        </w:r>
        <w:r w:rsidR="00324F9A" w:rsidRPr="00667C33">
          <w:rPr>
            <w:rStyle w:val="Hyperlink"/>
            <w:noProof/>
          </w:rPr>
          <w:t>Sources de veille stratégique</w:t>
        </w:r>
        <w:r w:rsidR="00324F9A">
          <w:rPr>
            <w:noProof/>
            <w:webHidden/>
          </w:rPr>
          <w:tab/>
        </w:r>
        <w:r w:rsidR="00567BB5">
          <w:rPr>
            <w:noProof/>
            <w:webHidden/>
          </w:rPr>
          <w:fldChar w:fldCharType="begin"/>
        </w:r>
        <w:r w:rsidR="00324F9A">
          <w:rPr>
            <w:noProof/>
            <w:webHidden/>
          </w:rPr>
          <w:instrText xml:space="preserve"> PAGEREF _Toc454465597 \h </w:instrText>
        </w:r>
        <w:r w:rsidR="00567BB5">
          <w:rPr>
            <w:noProof/>
            <w:webHidden/>
          </w:rPr>
        </w:r>
        <w:r w:rsidR="00567BB5">
          <w:rPr>
            <w:noProof/>
            <w:webHidden/>
          </w:rPr>
          <w:fldChar w:fldCharType="separate"/>
        </w:r>
        <w:r>
          <w:rPr>
            <w:noProof/>
            <w:webHidden/>
          </w:rPr>
          <w:t>49</w:t>
        </w:r>
        <w:r w:rsidR="00567BB5">
          <w:rPr>
            <w:noProof/>
            <w:webHidden/>
          </w:rPr>
          <w:fldChar w:fldCharType="end"/>
        </w:r>
      </w:hyperlink>
    </w:p>
    <w:p w14:paraId="7FFC1A86" w14:textId="77777777" w:rsidR="00324F9A" w:rsidRDefault="00CB4331">
      <w:pPr>
        <w:pStyle w:val="TOC2"/>
        <w:tabs>
          <w:tab w:val="left" w:pos="1320"/>
        </w:tabs>
        <w:rPr>
          <w:rFonts w:asciiTheme="minorHAnsi" w:eastAsiaTheme="minorEastAsia" w:hAnsiTheme="minorHAnsi" w:cstheme="minorBidi"/>
          <w:noProof/>
          <w:szCs w:val="22"/>
        </w:rPr>
      </w:pPr>
      <w:hyperlink w:anchor="_Toc454465598" w:history="1">
        <w:r w:rsidR="00324F9A" w:rsidRPr="00667C33">
          <w:rPr>
            <w:rStyle w:val="Hyperlink"/>
            <w:noProof/>
          </w:rPr>
          <w:t>12.1</w:t>
        </w:r>
        <w:r w:rsidR="00324F9A">
          <w:rPr>
            <w:rFonts w:asciiTheme="minorHAnsi" w:eastAsiaTheme="minorEastAsia" w:hAnsiTheme="minorHAnsi" w:cstheme="minorBidi"/>
            <w:noProof/>
            <w:szCs w:val="22"/>
          </w:rPr>
          <w:tab/>
        </w:r>
        <w:r w:rsidR="00324F9A" w:rsidRPr="00667C33">
          <w:rPr>
            <w:rStyle w:val="Hyperlink"/>
            <w:noProof/>
          </w:rPr>
          <w:t>Les principales entreprises et groupes du secteur</w:t>
        </w:r>
        <w:r w:rsidR="00324F9A">
          <w:rPr>
            <w:noProof/>
            <w:webHidden/>
          </w:rPr>
          <w:tab/>
        </w:r>
        <w:r w:rsidR="00567BB5">
          <w:rPr>
            <w:noProof/>
            <w:webHidden/>
          </w:rPr>
          <w:fldChar w:fldCharType="begin"/>
        </w:r>
        <w:r w:rsidR="00324F9A">
          <w:rPr>
            <w:noProof/>
            <w:webHidden/>
          </w:rPr>
          <w:instrText xml:space="preserve"> PAGEREF _Toc454465598 \h </w:instrText>
        </w:r>
        <w:r w:rsidR="00567BB5">
          <w:rPr>
            <w:noProof/>
            <w:webHidden/>
          </w:rPr>
        </w:r>
        <w:r w:rsidR="00567BB5">
          <w:rPr>
            <w:noProof/>
            <w:webHidden/>
          </w:rPr>
          <w:fldChar w:fldCharType="separate"/>
        </w:r>
        <w:r>
          <w:rPr>
            <w:noProof/>
            <w:webHidden/>
          </w:rPr>
          <w:t>49</w:t>
        </w:r>
        <w:r w:rsidR="00567BB5">
          <w:rPr>
            <w:noProof/>
            <w:webHidden/>
          </w:rPr>
          <w:fldChar w:fldCharType="end"/>
        </w:r>
      </w:hyperlink>
    </w:p>
    <w:p w14:paraId="7FFC1A87" w14:textId="77777777" w:rsidR="00324F9A" w:rsidRDefault="00CB4331">
      <w:pPr>
        <w:pStyle w:val="TOC2"/>
        <w:tabs>
          <w:tab w:val="left" w:pos="1320"/>
        </w:tabs>
        <w:rPr>
          <w:rFonts w:asciiTheme="minorHAnsi" w:eastAsiaTheme="minorEastAsia" w:hAnsiTheme="minorHAnsi" w:cstheme="minorBidi"/>
          <w:noProof/>
          <w:szCs w:val="22"/>
        </w:rPr>
      </w:pPr>
      <w:hyperlink w:anchor="_Toc454465599" w:history="1">
        <w:r w:rsidR="00324F9A" w:rsidRPr="00667C33">
          <w:rPr>
            <w:rStyle w:val="Hyperlink"/>
            <w:noProof/>
          </w:rPr>
          <w:t>12.2</w:t>
        </w:r>
        <w:r w:rsidR="00324F9A">
          <w:rPr>
            <w:rFonts w:asciiTheme="minorHAnsi" w:eastAsiaTheme="minorEastAsia" w:hAnsiTheme="minorHAnsi" w:cstheme="minorBidi"/>
            <w:noProof/>
            <w:szCs w:val="22"/>
          </w:rPr>
          <w:tab/>
        </w:r>
        <w:r w:rsidR="00324F9A" w:rsidRPr="00667C33">
          <w:rPr>
            <w:rStyle w:val="Hyperlink"/>
            <w:noProof/>
          </w:rPr>
          <w:t>Les organismes officiels</w:t>
        </w:r>
        <w:r w:rsidR="00324F9A">
          <w:rPr>
            <w:noProof/>
            <w:webHidden/>
          </w:rPr>
          <w:tab/>
        </w:r>
        <w:r w:rsidR="00567BB5">
          <w:rPr>
            <w:noProof/>
            <w:webHidden/>
          </w:rPr>
          <w:fldChar w:fldCharType="begin"/>
        </w:r>
        <w:r w:rsidR="00324F9A">
          <w:rPr>
            <w:noProof/>
            <w:webHidden/>
          </w:rPr>
          <w:instrText xml:space="preserve"> PAGEREF _Toc454465599 \h </w:instrText>
        </w:r>
        <w:r w:rsidR="00567BB5">
          <w:rPr>
            <w:noProof/>
            <w:webHidden/>
          </w:rPr>
        </w:r>
        <w:r w:rsidR="00567BB5">
          <w:rPr>
            <w:noProof/>
            <w:webHidden/>
          </w:rPr>
          <w:fldChar w:fldCharType="separate"/>
        </w:r>
        <w:r>
          <w:rPr>
            <w:noProof/>
            <w:webHidden/>
          </w:rPr>
          <w:t>49</w:t>
        </w:r>
        <w:r w:rsidR="00567BB5">
          <w:rPr>
            <w:noProof/>
            <w:webHidden/>
          </w:rPr>
          <w:fldChar w:fldCharType="end"/>
        </w:r>
      </w:hyperlink>
    </w:p>
    <w:p w14:paraId="7FFC1A88" w14:textId="77777777" w:rsidR="00324F9A" w:rsidRDefault="00CB4331">
      <w:pPr>
        <w:pStyle w:val="TOC3"/>
        <w:tabs>
          <w:tab w:val="left" w:pos="1760"/>
        </w:tabs>
        <w:rPr>
          <w:rFonts w:asciiTheme="minorHAnsi" w:eastAsiaTheme="minorEastAsia" w:hAnsiTheme="minorHAnsi" w:cstheme="minorBidi"/>
          <w:noProof/>
          <w:szCs w:val="22"/>
        </w:rPr>
      </w:pPr>
      <w:hyperlink w:anchor="_Toc454465600" w:history="1">
        <w:r w:rsidR="00324F9A" w:rsidRPr="00667C33">
          <w:rPr>
            <w:rStyle w:val="Hyperlink"/>
            <w:noProof/>
          </w:rPr>
          <w:t>12.2.1</w:t>
        </w:r>
        <w:r w:rsidR="00324F9A">
          <w:rPr>
            <w:rFonts w:asciiTheme="minorHAnsi" w:eastAsiaTheme="minorEastAsia" w:hAnsiTheme="minorHAnsi" w:cstheme="minorBidi"/>
            <w:noProof/>
            <w:szCs w:val="22"/>
          </w:rPr>
          <w:tab/>
        </w:r>
        <w:r w:rsidR="00324F9A" w:rsidRPr="00667C33">
          <w:rPr>
            <w:rStyle w:val="Hyperlink"/>
            <w:noProof/>
          </w:rPr>
          <w:t>Institutionnels</w:t>
        </w:r>
        <w:r w:rsidR="00324F9A">
          <w:rPr>
            <w:noProof/>
            <w:webHidden/>
          </w:rPr>
          <w:tab/>
        </w:r>
        <w:r w:rsidR="00567BB5">
          <w:rPr>
            <w:noProof/>
            <w:webHidden/>
          </w:rPr>
          <w:fldChar w:fldCharType="begin"/>
        </w:r>
        <w:r w:rsidR="00324F9A">
          <w:rPr>
            <w:noProof/>
            <w:webHidden/>
          </w:rPr>
          <w:instrText xml:space="preserve"> PAGEREF _Toc454465600 \h </w:instrText>
        </w:r>
        <w:r w:rsidR="00567BB5">
          <w:rPr>
            <w:noProof/>
            <w:webHidden/>
          </w:rPr>
        </w:r>
        <w:r w:rsidR="00567BB5">
          <w:rPr>
            <w:noProof/>
            <w:webHidden/>
          </w:rPr>
          <w:fldChar w:fldCharType="separate"/>
        </w:r>
        <w:r>
          <w:rPr>
            <w:noProof/>
            <w:webHidden/>
          </w:rPr>
          <w:t>49</w:t>
        </w:r>
        <w:r w:rsidR="00567BB5">
          <w:rPr>
            <w:noProof/>
            <w:webHidden/>
          </w:rPr>
          <w:fldChar w:fldCharType="end"/>
        </w:r>
      </w:hyperlink>
    </w:p>
    <w:p w14:paraId="7FFC1A89" w14:textId="77777777" w:rsidR="00324F9A" w:rsidRDefault="00CB4331">
      <w:pPr>
        <w:pStyle w:val="TOC3"/>
        <w:tabs>
          <w:tab w:val="left" w:pos="1760"/>
        </w:tabs>
        <w:rPr>
          <w:rFonts w:asciiTheme="minorHAnsi" w:eastAsiaTheme="minorEastAsia" w:hAnsiTheme="minorHAnsi" w:cstheme="minorBidi"/>
          <w:noProof/>
          <w:szCs w:val="22"/>
        </w:rPr>
      </w:pPr>
      <w:hyperlink w:anchor="_Toc454465601" w:history="1">
        <w:r w:rsidR="00324F9A" w:rsidRPr="00667C33">
          <w:rPr>
            <w:rStyle w:val="Hyperlink"/>
            <w:noProof/>
          </w:rPr>
          <w:t>12.2.2</w:t>
        </w:r>
        <w:r w:rsidR="00324F9A">
          <w:rPr>
            <w:rFonts w:asciiTheme="minorHAnsi" w:eastAsiaTheme="minorEastAsia" w:hAnsiTheme="minorHAnsi" w:cstheme="minorBidi"/>
            <w:noProof/>
            <w:szCs w:val="22"/>
          </w:rPr>
          <w:tab/>
        </w:r>
        <w:r w:rsidR="00324F9A" w:rsidRPr="00667C33">
          <w:rPr>
            <w:rStyle w:val="Hyperlink"/>
            <w:noProof/>
          </w:rPr>
          <w:t>Professionnels</w:t>
        </w:r>
        <w:r w:rsidR="00324F9A">
          <w:rPr>
            <w:noProof/>
            <w:webHidden/>
          </w:rPr>
          <w:tab/>
        </w:r>
        <w:r w:rsidR="00567BB5">
          <w:rPr>
            <w:noProof/>
            <w:webHidden/>
          </w:rPr>
          <w:fldChar w:fldCharType="begin"/>
        </w:r>
        <w:r w:rsidR="00324F9A">
          <w:rPr>
            <w:noProof/>
            <w:webHidden/>
          </w:rPr>
          <w:instrText xml:space="preserve"> PAGEREF _Toc454465601 \h </w:instrText>
        </w:r>
        <w:r w:rsidR="00567BB5">
          <w:rPr>
            <w:noProof/>
            <w:webHidden/>
          </w:rPr>
        </w:r>
        <w:r w:rsidR="00567BB5">
          <w:rPr>
            <w:noProof/>
            <w:webHidden/>
          </w:rPr>
          <w:fldChar w:fldCharType="separate"/>
        </w:r>
        <w:r>
          <w:rPr>
            <w:noProof/>
            <w:webHidden/>
          </w:rPr>
          <w:t>49</w:t>
        </w:r>
        <w:r w:rsidR="00567BB5">
          <w:rPr>
            <w:noProof/>
            <w:webHidden/>
          </w:rPr>
          <w:fldChar w:fldCharType="end"/>
        </w:r>
      </w:hyperlink>
    </w:p>
    <w:p w14:paraId="7FFC1A8A" w14:textId="77777777" w:rsidR="00324F9A" w:rsidRDefault="00CB4331">
      <w:pPr>
        <w:pStyle w:val="TOC2"/>
        <w:tabs>
          <w:tab w:val="left" w:pos="1320"/>
        </w:tabs>
        <w:rPr>
          <w:rFonts w:asciiTheme="minorHAnsi" w:eastAsiaTheme="minorEastAsia" w:hAnsiTheme="minorHAnsi" w:cstheme="minorBidi"/>
          <w:noProof/>
          <w:szCs w:val="22"/>
        </w:rPr>
      </w:pPr>
      <w:hyperlink w:anchor="_Toc454465602" w:history="1">
        <w:r w:rsidR="00324F9A" w:rsidRPr="00667C33">
          <w:rPr>
            <w:rStyle w:val="Hyperlink"/>
            <w:noProof/>
          </w:rPr>
          <w:t>12.3</w:t>
        </w:r>
        <w:r w:rsidR="00324F9A">
          <w:rPr>
            <w:rFonts w:asciiTheme="minorHAnsi" w:eastAsiaTheme="minorEastAsia" w:hAnsiTheme="minorHAnsi" w:cstheme="minorBidi"/>
            <w:noProof/>
            <w:szCs w:val="22"/>
          </w:rPr>
          <w:tab/>
        </w:r>
        <w:r w:rsidR="00324F9A" w:rsidRPr="00667C33">
          <w:rPr>
            <w:rStyle w:val="Hyperlink"/>
            <w:noProof/>
          </w:rPr>
          <w:t>Les associations et groupements</w:t>
        </w:r>
        <w:r w:rsidR="00324F9A">
          <w:rPr>
            <w:noProof/>
            <w:webHidden/>
          </w:rPr>
          <w:tab/>
        </w:r>
        <w:r w:rsidR="00567BB5">
          <w:rPr>
            <w:noProof/>
            <w:webHidden/>
          </w:rPr>
          <w:fldChar w:fldCharType="begin"/>
        </w:r>
        <w:r w:rsidR="00324F9A">
          <w:rPr>
            <w:noProof/>
            <w:webHidden/>
          </w:rPr>
          <w:instrText xml:space="preserve"> PAGEREF _Toc454465602 \h </w:instrText>
        </w:r>
        <w:r w:rsidR="00567BB5">
          <w:rPr>
            <w:noProof/>
            <w:webHidden/>
          </w:rPr>
        </w:r>
        <w:r w:rsidR="00567BB5">
          <w:rPr>
            <w:noProof/>
            <w:webHidden/>
          </w:rPr>
          <w:fldChar w:fldCharType="separate"/>
        </w:r>
        <w:r>
          <w:rPr>
            <w:noProof/>
            <w:webHidden/>
          </w:rPr>
          <w:t>49</w:t>
        </w:r>
        <w:r w:rsidR="00567BB5">
          <w:rPr>
            <w:noProof/>
            <w:webHidden/>
          </w:rPr>
          <w:fldChar w:fldCharType="end"/>
        </w:r>
      </w:hyperlink>
    </w:p>
    <w:p w14:paraId="7FFC1A8B" w14:textId="77777777" w:rsidR="00324F9A" w:rsidRDefault="00CB4331">
      <w:pPr>
        <w:pStyle w:val="TOC2"/>
        <w:tabs>
          <w:tab w:val="left" w:pos="1320"/>
        </w:tabs>
        <w:rPr>
          <w:rFonts w:asciiTheme="minorHAnsi" w:eastAsiaTheme="minorEastAsia" w:hAnsiTheme="minorHAnsi" w:cstheme="minorBidi"/>
          <w:noProof/>
          <w:szCs w:val="22"/>
        </w:rPr>
      </w:pPr>
      <w:hyperlink w:anchor="_Toc454465603" w:history="1">
        <w:r w:rsidR="00324F9A" w:rsidRPr="00667C33">
          <w:rPr>
            <w:rStyle w:val="Hyperlink"/>
            <w:noProof/>
          </w:rPr>
          <w:t>12.4</w:t>
        </w:r>
        <w:r w:rsidR="00324F9A">
          <w:rPr>
            <w:rFonts w:asciiTheme="minorHAnsi" w:eastAsiaTheme="minorEastAsia" w:hAnsiTheme="minorHAnsi" w:cstheme="minorBidi"/>
            <w:noProof/>
            <w:szCs w:val="22"/>
          </w:rPr>
          <w:tab/>
        </w:r>
        <w:r w:rsidR="00324F9A" w:rsidRPr="00667C33">
          <w:rPr>
            <w:rStyle w:val="Hyperlink"/>
            <w:noProof/>
          </w:rPr>
          <w:t>La presse spécialisée</w:t>
        </w:r>
        <w:r w:rsidR="00324F9A">
          <w:rPr>
            <w:noProof/>
            <w:webHidden/>
          </w:rPr>
          <w:tab/>
        </w:r>
        <w:r w:rsidR="00567BB5">
          <w:rPr>
            <w:noProof/>
            <w:webHidden/>
          </w:rPr>
          <w:fldChar w:fldCharType="begin"/>
        </w:r>
        <w:r w:rsidR="00324F9A">
          <w:rPr>
            <w:noProof/>
            <w:webHidden/>
          </w:rPr>
          <w:instrText xml:space="preserve"> PAGEREF _Toc454465603 \h </w:instrText>
        </w:r>
        <w:r w:rsidR="00567BB5">
          <w:rPr>
            <w:noProof/>
            <w:webHidden/>
          </w:rPr>
        </w:r>
        <w:r w:rsidR="00567BB5">
          <w:rPr>
            <w:noProof/>
            <w:webHidden/>
          </w:rPr>
          <w:fldChar w:fldCharType="separate"/>
        </w:r>
        <w:r>
          <w:rPr>
            <w:noProof/>
            <w:webHidden/>
          </w:rPr>
          <w:t>50</w:t>
        </w:r>
        <w:r w:rsidR="00567BB5">
          <w:rPr>
            <w:noProof/>
            <w:webHidden/>
          </w:rPr>
          <w:fldChar w:fldCharType="end"/>
        </w:r>
      </w:hyperlink>
    </w:p>
    <w:p w14:paraId="7FFC1A8C" w14:textId="77777777" w:rsidR="00324F9A" w:rsidRDefault="00CB4331">
      <w:pPr>
        <w:pStyle w:val="TOC2"/>
        <w:tabs>
          <w:tab w:val="left" w:pos="1320"/>
        </w:tabs>
        <w:rPr>
          <w:rFonts w:asciiTheme="minorHAnsi" w:eastAsiaTheme="minorEastAsia" w:hAnsiTheme="minorHAnsi" w:cstheme="minorBidi"/>
          <w:noProof/>
          <w:szCs w:val="22"/>
        </w:rPr>
      </w:pPr>
      <w:hyperlink w:anchor="_Toc454465604" w:history="1">
        <w:r w:rsidR="00324F9A" w:rsidRPr="00667C33">
          <w:rPr>
            <w:rStyle w:val="Hyperlink"/>
            <w:noProof/>
          </w:rPr>
          <w:t>12.5</w:t>
        </w:r>
        <w:r w:rsidR="00324F9A">
          <w:rPr>
            <w:rFonts w:asciiTheme="minorHAnsi" w:eastAsiaTheme="minorEastAsia" w:hAnsiTheme="minorHAnsi" w:cstheme="minorBidi"/>
            <w:noProof/>
            <w:szCs w:val="22"/>
          </w:rPr>
          <w:tab/>
        </w:r>
        <w:r w:rsidR="00324F9A" w:rsidRPr="00667C33">
          <w:rPr>
            <w:rStyle w:val="Hyperlink"/>
            <w:noProof/>
          </w:rPr>
          <w:t>Manifestations, salons et autres évènements</w:t>
        </w:r>
        <w:r w:rsidR="00324F9A">
          <w:rPr>
            <w:noProof/>
            <w:webHidden/>
          </w:rPr>
          <w:tab/>
        </w:r>
        <w:r w:rsidR="00567BB5">
          <w:rPr>
            <w:noProof/>
            <w:webHidden/>
          </w:rPr>
          <w:fldChar w:fldCharType="begin"/>
        </w:r>
        <w:r w:rsidR="00324F9A">
          <w:rPr>
            <w:noProof/>
            <w:webHidden/>
          </w:rPr>
          <w:instrText xml:space="preserve"> PAGEREF _Toc454465604 \h </w:instrText>
        </w:r>
        <w:r w:rsidR="00567BB5">
          <w:rPr>
            <w:noProof/>
            <w:webHidden/>
          </w:rPr>
        </w:r>
        <w:r w:rsidR="00567BB5">
          <w:rPr>
            <w:noProof/>
            <w:webHidden/>
          </w:rPr>
          <w:fldChar w:fldCharType="separate"/>
        </w:r>
        <w:r>
          <w:rPr>
            <w:noProof/>
            <w:webHidden/>
          </w:rPr>
          <w:t>51</w:t>
        </w:r>
        <w:r w:rsidR="00567BB5">
          <w:rPr>
            <w:noProof/>
            <w:webHidden/>
          </w:rPr>
          <w:fldChar w:fldCharType="end"/>
        </w:r>
      </w:hyperlink>
    </w:p>
    <w:p w14:paraId="7FFC1A8D" w14:textId="77777777" w:rsidR="00324F9A" w:rsidRDefault="00CB4331">
      <w:pPr>
        <w:pStyle w:val="TOC2"/>
        <w:tabs>
          <w:tab w:val="left" w:pos="1320"/>
        </w:tabs>
        <w:rPr>
          <w:rFonts w:asciiTheme="minorHAnsi" w:eastAsiaTheme="minorEastAsia" w:hAnsiTheme="minorHAnsi" w:cstheme="minorBidi"/>
          <w:noProof/>
          <w:szCs w:val="22"/>
        </w:rPr>
      </w:pPr>
      <w:hyperlink w:anchor="_Toc454465605" w:history="1">
        <w:r w:rsidR="00324F9A" w:rsidRPr="00667C33">
          <w:rPr>
            <w:rStyle w:val="Hyperlink"/>
            <w:noProof/>
          </w:rPr>
          <w:t>12.6</w:t>
        </w:r>
        <w:r w:rsidR="00324F9A">
          <w:rPr>
            <w:rFonts w:asciiTheme="minorHAnsi" w:eastAsiaTheme="minorEastAsia" w:hAnsiTheme="minorHAnsi" w:cstheme="minorBidi"/>
            <w:noProof/>
            <w:szCs w:val="22"/>
          </w:rPr>
          <w:tab/>
        </w:r>
        <w:r w:rsidR="00324F9A" w:rsidRPr="00667C33">
          <w:rPr>
            <w:rStyle w:val="Hyperlink"/>
            <w:noProof/>
          </w:rPr>
          <w:t>Cabinets d’étude du secteur</w:t>
        </w:r>
        <w:r w:rsidR="00324F9A">
          <w:rPr>
            <w:noProof/>
            <w:webHidden/>
          </w:rPr>
          <w:tab/>
        </w:r>
        <w:r w:rsidR="00567BB5">
          <w:rPr>
            <w:noProof/>
            <w:webHidden/>
          </w:rPr>
          <w:fldChar w:fldCharType="begin"/>
        </w:r>
        <w:r w:rsidR="00324F9A">
          <w:rPr>
            <w:noProof/>
            <w:webHidden/>
          </w:rPr>
          <w:instrText xml:space="preserve"> PAGEREF _Toc454465605 \h </w:instrText>
        </w:r>
        <w:r w:rsidR="00567BB5">
          <w:rPr>
            <w:noProof/>
            <w:webHidden/>
          </w:rPr>
        </w:r>
        <w:r w:rsidR="00567BB5">
          <w:rPr>
            <w:noProof/>
            <w:webHidden/>
          </w:rPr>
          <w:fldChar w:fldCharType="separate"/>
        </w:r>
        <w:r>
          <w:rPr>
            <w:noProof/>
            <w:webHidden/>
          </w:rPr>
          <w:t>51</w:t>
        </w:r>
        <w:r w:rsidR="00567BB5">
          <w:rPr>
            <w:noProof/>
            <w:webHidden/>
          </w:rPr>
          <w:fldChar w:fldCharType="end"/>
        </w:r>
      </w:hyperlink>
    </w:p>
    <w:p w14:paraId="7FFC1A8E" w14:textId="77777777" w:rsidR="00324F9A" w:rsidRDefault="00CB4331">
      <w:pPr>
        <w:pStyle w:val="TOC2"/>
        <w:tabs>
          <w:tab w:val="left" w:pos="1320"/>
        </w:tabs>
        <w:rPr>
          <w:rFonts w:asciiTheme="minorHAnsi" w:eastAsiaTheme="minorEastAsia" w:hAnsiTheme="minorHAnsi" w:cstheme="minorBidi"/>
          <w:noProof/>
          <w:szCs w:val="22"/>
        </w:rPr>
      </w:pPr>
      <w:hyperlink w:anchor="_Toc454465606" w:history="1">
        <w:r w:rsidR="00324F9A" w:rsidRPr="00667C33">
          <w:rPr>
            <w:rStyle w:val="Hyperlink"/>
            <w:noProof/>
          </w:rPr>
          <w:t>12.7</w:t>
        </w:r>
        <w:r w:rsidR="00324F9A">
          <w:rPr>
            <w:rFonts w:asciiTheme="minorHAnsi" w:eastAsiaTheme="minorEastAsia" w:hAnsiTheme="minorHAnsi" w:cstheme="minorBidi"/>
            <w:noProof/>
            <w:szCs w:val="22"/>
          </w:rPr>
          <w:tab/>
        </w:r>
        <w:r w:rsidR="00324F9A" w:rsidRPr="00667C33">
          <w:rPr>
            <w:rStyle w:val="Hyperlink"/>
            <w:noProof/>
          </w:rPr>
          <w:t>Les pôles de compétitivité</w:t>
        </w:r>
        <w:r w:rsidR="00324F9A">
          <w:rPr>
            <w:noProof/>
            <w:webHidden/>
          </w:rPr>
          <w:tab/>
        </w:r>
        <w:r w:rsidR="00567BB5">
          <w:rPr>
            <w:noProof/>
            <w:webHidden/>
          </w:rPr>
          <w:fldChar w:fldCharType="begin"/>
        </w:r>
        <w:r w:rsidR="00324F9A">
          <w:rPr>
            <w:noProof/>
            <w:webHidden/>
          </w:rPr>
          <w:instrText xml:space="preserve"> PAGEREF _Toc454465606 \h </w:instrText>
        </w:r>
        <w:r w:rsidR="00567BB5">
          <w:rPr>
            <w:noProof/>
            <w:webHidden/>
          </w:rPr>
        </w:r>
        <w:r w:rsidR="00567BB5">
          <w:rPr>
            <w:noProof/>
            <w:webHidden/>
          </w:rPr>
          <w:fldChar w:fldCharType="separate"/>
        </w:r>
        <w:r>
          <w:rPr>
            <w:noProof/>
            <w:webHidden/>
          </w:rPr>
          <w:t>51</w:t>
        </w:r>
        <w:r w:rsidR="00567BB5">
          <w:rPr>
            <w:noProof/>
            <w:webHidden/>
          </w:rPr>
          <w:fldChar w:fldCharType="end"/>
        </w:r>
      </w:hyperlink>
    </w:p>
    <w:p w14:paraId="7FFC1A8F" w14:textId="77777777" w:rsidR="00324F9A" w:rsidRDefault="00CB4331">
      <w:pPr>
        <w:pStyle w:val="TOC1"/>
        <w:rPr>
          <w:rFonts w:asciiTheme="minorHAnsi" w:eastAsiaTheme="minorEastAsia" w:hAnsiTheme="minorHAnsi" w:cstheme="minorBidi"/>
          <w:noProof/>
          <w:szCs w:val="22"/>
        </w:rPr>
      </w:pPr>
      <w:hyperlink w:anchor="_Toc454465607" w:history="1">
        <w:r w:rsidR="00324F9A" w:rsidRPr="00667C33">
          <w:rPr>
            <w:rStyle w:val="Hyperlink"/>
            <w:noProof/>
          </w:rPr>
          <w:t>Conclusion prospective</w:t>
        </w:r>
        <w:r w:rsidR="00324F9A">
          <w:rPr>
            <w:noProof/>
            <w:webHidden/>
          </w:rPr>
          <w:tab/>
        </w:r>
        <w:r w:rsidR="00567BB5">
          <w:rPr>
            <w:noProof/>
            <w:webHidden/>
          </w:rPr>
          <w:fldChar w:fldCharType="begin"/>
        </w:r>
        <w:r w:rsidR="00324F9A">
          <w:rPr>
            <w:noProof/>
            <w:webHidden/>
          </w:rPr>
          <w:instrText xml:space="preserve"> PAGEREF _Toc454465607 \h </w:instrText>
        </w:r>
        <w:r w:rsidR="00567BB5">
          <w:rPr>
            <w:noProof/>
            <w:webHidden/>
          </w:rPr>
        </w:r>
        <w:r w:rsidR="00567BB5">
          <w:rPr>
            <w:noProof/>
            <w:webHidden/>
          </w:rPr>
          <w:fldChar w:fldCharType="separate"/>
        </w:r>
        <w:r>
          <w:rPr>
            <w:noProof/>
            <w:webHidden/>
          </w:rPr>
          <w:t>52</w:t>
        </w:r>
        <w:r w:rsidR="00567BB5">
          <w:rPr>
            <w:noProof/>
            <w:webHidden/>
          </w:rPr>
          <w:fldChar w:fldCharType="end"/>
        </w:r>
      </w:hyperlink>
    </w:p>
    <w:p w14:paraId="7FFC1A90" w14:textId="77777777" w:rsidR="00324F9A" w:rsidRDefault="00CB4331">
      <w:pPr>
        <w:pStyle w:val="TOC2"/>
        <w:rPr>
          <w:rFonts w:asciiTheme="minorHAnsi" w:eastAsiaTheme="minorEastAsia" w:hAnsiTheme="minorHAnsi" w:cstheme="minorBidi"/>
          <w:noProof/>
          <w:szCs w:val="22"/>
        </w:rPr>
      </w:pPr>
      <w:hyperlink w:anchor="_Toc454465608" w:history="1">
        <w:r w:rsidR="00324F9A" w:rsidRPr="00667C33">
          <w:rPr>
            <w:rStyle w:val="Hyperlink"/>
            <w:noProof/>
          </w:rPr>
          <w:t>Analyse prospective</w:t>
        </w:r>
        <w:r w:rsidR="00324F9A">
          <w:rPr>
            <w:noProof/>
            <w:webHidden/>
          </w:rPr>
          <w:tab/>
        </w:r>
        <w:r w:rsidR="00567BB5">
          <w:rPr>
            <w:noProof/>
            <w:webHidden/>
          </w:rPr>
          <w:fldChar w:fldCharType="begin"/>
        </w:r>
        <w:r w:rsidR="00324F9A">
          <w:rPr>
            <w:noProof/>
            <w:webHidden/>
          </w:rPr>
          <w:instrText xml:space="preserve"> PAGEREF _Toc454465608 \h </w:instrText>
        </w:r>
        <w:r w:rsidR="00567BB5">
          <w:rPr>
            <w:noProof/>
            <w:webHidden/>
          </w:rPr>
        </w:r>
        <w:r w:rsidR="00567BB5">
          <w:rPr>
            <w:noProof/>
            <w:webHidden/>
          </w:rPr>
          <w:fldChar w:fldCharType="separate"/>
        </w:r>
        <w:r>
          <w:rPr>
            <w:noProof/>
            <w:webHidden/>
          </w:rPr>
          <w:t>52</w:t>
        </w:r>
        <w:r w:rsidR="00567BB5">
          <w:rPr>
            <w:noProof/>
            <w:webHidden/>
          </w:rPr>
          <w:fldChar w:fldCharType="end"/>
        </w:r>
      </w:hyperlink>
    </w:p>
    <w:p w14:paraId="7FFC1A91" w14:textId="77777777" w:rsidR="00324F9A" w:rsidRDefault="00CB4331">
      <w:pPr>
        <w:pStyle w:val="TOC2"/>
        <w:rPr>
          <w:rFonts w:asciiTheme="minorHAnsi" w:eastAsiaTheme="minorEastAsia" w:hAnsiTheme="minorHAnsi" w:cstheme="minorBidi"/>
          <w:noProof/>
          <w:szCs w:val="22"/>
        </w:rPr>
      </w:pPr>
      <w:hyperlink w:anchor="_Toc454465609" w:history="1">
        <w:r w:rsidR="00324F9A" w:rsidRPr="00667C33">
          <w:rPr>
            <w:rStyle w:val="Hyperlink"/>
            <w:noProof/>
          </w:rPr>
          <w:t>Réserves</w:t>
        </w:r>
        <w:r w:rsidR="00324F9A">
          <w:rPr>
            <w:noProof/>
            <w:webHidden/>
          </w:rPr>
          <w:tab/>
        </w:r>
        <w:r w:rsidR="00567BB5">
          <w:rPr>
            <w:noProof/>
            <w:webHidden/>
          </w:rPr>
          <w:fldChar w:fldCharType="begin"/>
        </w:r>
        <w:r w:rsidR="00324F9A">
          <w:rPr>
            <w:noProof/>
            <w:webHidden/>
          </w:rPr>
          <w:instrText xml:space="preserve"> PAGEREF _Toc454465609 \h </w:instrText>
        </w:r>
        <w:r w:rsidR="00567BB5">
          <w:rPr>
            <w:noProof/>
            <w:webHidden/>
          </w:rPr>
        </w:r>
        <w:r w:rsidR="00567BB5">
          <w:rPr>
            <w:noProof/>
            <w:webHidden/>
          </w:rPr>
          <w:fldChar w:fldCharType="separate"/>
        </w:r>
        <w:r>
          <w:rPr>
            <w:noProof/>
            <w:webHidden/>
          </w:rPr>
          <w:t>53</w:t>
        </w:r>
        <w:r w:rsidR="00567BB5">
          <w:rPr>
            <w:noProof/>
            <w:webHidden/>
          </w:rPr>
          <w:fldChar w:fldCharType="end"/>
        </w:r>
      </w:hyperlink>
    </w:p>
    <w:p w14:paraId="7FFC1A92" w14:textId="77777777" w:rsidR="00324F9A" w:rsidRDefault="00CB4331">
      <w:pPr>
        <w:pStyle w:val="TOC1"/>
        <w:rPr>
          <w:rFonts w:asciiTheme="minorHAnsi" w:eastAsiaTheme="minorEastAsia" w:hAnsiTheme="minorHAnsi" w:cstheme="minorBidi"/>
          <w:noProof/>
          <w:szCs w:val="22"/>
        </w:rPr>
      </w:pPr>
      <w:hyperlink w:anchor="_Toc454465610" w:history="1">
        <w:r w:rsidR="00324F9A" w:rsidRPr="00667C33">
          <w:rPr>
            <w:rStyle w:val="Hyperlink"/>
            <w:noProof/>
          </w:rPr>
          <w:t>Annexe : Détails des groupes stratégiques</w:t>
        </w:r>
        <w:r w:rsidR="00324F9A">
          <w:rPr>
            <w:noProof/>
            <w:webHidden/>
          </w:rPr>
          <w:tab/>
        </w:r>
        <w:r w:rsidR="00567BB5">
          <w:rPr>
            <w:noProof/>
            <w:webHidden/>
          </w:rPr>
          <w:fldChar w:fldCharType="begin"/>
        </w:r>
        <w:r w:rsidR="00324F9A">
          <w:rPr>
            <w:noProof/>
            <w:webHidden/>
          </w:rPr>
          <w:instrText xml:space="preserve"> PAGEREF _Toc454465610 \h </w:instrText>
        </w:r>
        <w:r w:rsidR="00567BB5">
          <w:rPr>
            <w:noProof/>
            <w:webHidden/>
          </w:rPr>
        </w:r>
        <w:r w:rsidR="00567BB5">
          <w:rPr>
            <w:noProof/>
            <w:webHidden/>
          </w:rPr>
          <w:fldChar w:fldCharType="separate"/>
        </w:r>
        <w:r>
          <w:rPr>
            <w:noProof/>
            <w:webHidden/>
          </w:rPr>
          <w:t>54</w:t>
        </w:r>
        <w:r w:rsidR="00567BB5">
          <w:rPr>
            <w:noProof/>
            <w:webHidden/>
          </w:rPr>
          <w:fldChar w:fldCharType="end"/>
        </w:r>
      </w:hyperlink>
    </w:p>
    <w:p w14:paraId="7FFC1A93" w14:textId="77777777" w:rsidR="004443D6" w:rsidRDefault="00567BB5" w:rsidP="005A1115">
      <w:r w:rsidRPr="00D22E0C">
        <w:rPr>
          <w:sz w:val="6"/>
          <w:szCs w:val="12"/>
        </w:rPr>
        <w:fldChar w:fldCharType="end"/>
      </w:r>
      <w:r w:rsidR="00A90873">
        <w:rPr>
          <w:sz w:val="6"/>
          <w:szCs w:val="12"/>
        </w:rPr>
        <w:t xml:space="preserve"> </w:t>
      </w:r>
    </w:p>
    <w:p w14:paraId="7FFC1A94" w14:textId="77777777" w:rsidR="004443D6" w:rsidRDefault="00FC4333" w:rsidP="005A1115">
      <w:pPr>
        <w:pStyle w:val="Heading1"/>
        <w:numPr>
          <w:ilvl w:val="0"/>
          <w:numId w:val="0"/>
        </w:numPr>
      </w:pPr>
      <w:bookmarkStart w:id="6" w:name="_Toc454465546"/>
      <w:r>
        <w:lastRenderedPageBreak/>
        <w:t>Résumé exécutif</w:t>
      </w:r>
      <w:bookmarkEnd w:id="6"/>
      <w:r>
        <w:t xml:space="preserve"> </w:t>
      </w:r>
      <w:r w:rsidR="009E6B17" w:rsidRPr="009E6B17">
        <w:t xml:space="preserve"> </w:t>
      </w:r>
    </w:p>
    <w:p w14:paraId="7FFC1A95" w14:textId="77777777" w:rsidR="007062A0" w:rsidRDefault="006F3B24" w:rsidP="007062A0">
      <w:pPr>
        <w:pStyle w:val="Heading2"/>
        <w:numPr>
          <w:ilvl w:val="0"/>
          <w:numId w:val="0"/>
        </w:numPr>
        <w:ind w:left="578"/>
      </w:pPr>
      <w:bookmarkStart w:id="7" w:name="_Toc454465547"/>
      <w:r>
        <w:t>C</w:t>
      </w:r>
      <w:r w:rsidR="007062A0">
        <w:t>adre de l’analyse</w:t>
      </w:r>
      <w:bookmarkEnd w:id="7"/>
      <w:r w:rsidR="007062A0">
        <w:t xml:space="preserve"> </w:t>
      </w:r>
    </w:p>
    <w:p w14:paraId="7FFC1A96" w14:textId="77777777" w:rsidR="00BD028D" w:rsidRPr="00125F21" w:rsidRDefault="00BD028D" w:rsidP="00BD028D">
      <w:pPr>
        <w:rPr>
          <w:noProof/>
        </w:rPr>
      </w:pPr>
      <w:r w:rsidRPr="00125F21">
        <w:rPr>
          <w:noProof/>
        </w:rPr>
        <w:t>L’humanité vie aujourd’hui une époque de son histoire caractérisée par des transformations profondes de son mode de vie et des activités économiques. Certains économistes parlent de 3ème révolution industrielle. D’autres économistes disent que ce n’est pas seulement la 3ème mais la nième. Dans tous les cas on parle aujourd’hui de transformation numérique ou de digitalisation de l’économie car les processus de production sont bouleversés par les TIC</w:t>
      </w:r>
      <w:r w:rsidR="00404DB7">
        <w:rPr>
          <w:rStyle w:val="FootnoteReference"/>
          <w:noProof/>
        </w:rPr>
        <w:footnoteReference w:id="1"/>
      </w:r>
      <w:r w:rsidRPr="00125F21">
        <w:rPr>
          <w:noProof/>
        </w:rPr>
        <w:t>. Cette révolution a commencé à la deuxième moitié du XX</w:t>
      </w:r>
      <w:r w:rsidRPr="00404DB7">
        <w:rPr>
          <w:noProof/>
          <w:vertAlign w:val="superscript"/>
        </w:rPr>
        <w:t>ème</w:t>
      </w:r>
      <w:r w:rsidRPr="00125F21">
        <w:rPr>
          <w:noProof/>
        </w:rPr>
        <w:t xml:space="preserve"> siècle vers les années 1980. </w:t>
      </w:r>
    </w:p>
    <w:p w14:paraId="7FFC1A97" w14:textId="77777777" w:rsidR="00BD028D" w:rsidRDefault="00BD028D" w:rsidP="00BD028D">
      <w:pPr>
        <w:rPr>
          <w:noProof/>
        </w:rPr>
      </w:pPr>
      <w:r w:rsidRPr="00125F21">
        <w:rPr>
          <w:noProof/>
        </w:rPr>
        <w:t xml:space="preserve">Tous les secteurs économiques sont concernés par cette transformation numérique. Il nous paraissait donc intéressant d’étudier l’industrie du numérique qui est le moteur de cette transformation. Cette industrie du numérique ou des TIC regroupe plusieurs secteurs d’activité qui sont en forte synergie et qui sont au service des autres industries. Dans la filière du numérique on trouve trois grandes familles de secteurs : les secteurs du matériel et infrastructure physique (hardware) de l’industrie manufacturière, les secteurs des logiciels (software) et les secteurs de service. Les secteurs des services jouent un rôle central dans cette industrie et occupent une place de plus en plus importante. </w:t>
      </w:r>
    </w:p>
    <w:p w14:paraId="7FFC1A98" w14:textId="77777777" w:rsidR="008C1569" w:rsidRDefault="00BD028D" w:rsidP="00BD028D">
      <w:pPr>
        <w:rPr>
          <w:noProof/>
        </w:rPr>
      </w:pPr>
      <w:r w:rsidRPr="00125F21">
        <w:rPr>
          <w:noProof/>
        </w:rPr>
        <w:t>Dans les secteurs de</w:t>
      </w:r>
      <w:r w:rsidR="008C1569">
        <w:rPr>
          <w:noProof/>
        </w:rPr>
        <w:t>s</w:t>
      </w:r>
      <w:r w:rsidRPr="00125F21">
        <w:rPr>
          <w:noProof/>
        </w:rPr>
        <w:t xml:space="preserve"> service</w:t>
      </w:r>
      <w:r w:rsidR="008C1569">
        <w:rPr>
          <w:noProof/>
        </w:rPr>
        <w:t>s liés à l’information</w:t>
      </w:r>
      <w:r w:rsidRPr="00125F21">
        <w:rPr>
          <w:noProof/>
        </w:rPr>
        <w:t>, on trouve</w:t>
      </w:r>
      <w:r w:rsidR="008C1569">
        <w:rPr>
          <w:noProof/>
        </w:rPr>
        <w:t xml:space="preserve"> : </w:t>
      </w:r>
    </w:p>
    <w:p w14:paraId="7FFC1A99" w14:textId="77777777" w:rsidR="008C1569" w:rsidRDefault="00BD028D" w:rsidP="008C1569">
      <w:pPr>
        <w:pStyle w:val="ListParagraph"/>
        <w:numPr>
          <w:ilvl w:val="0"/>
          <w:numId w:val="23"/>
        </w:numPr>
        <w:rPr>
          <w:noProof/>
        </w:rPr>
      </w:pPr>
      <w:r>
        <w:rPr>
          <w:noProof/>
        </w:rPr>
        <w:t>d</w:t>
      </w:r>
      <w:r w:rsidRPr="00125F21">
        <w:rPr>
          <w:noProof/>
        </w:rPr>
        <w:t xml:space="preserve">es services </w:t>
      </w:r>
      <w:r w:rsidR="008C1569">
        <w:rPr>
          <w:noProof/>
        </w:rPr>
        <w:t>de</w:t>
      </w:r>
      <w:r w:rsidRPr="00125F21">
        <w:rPr>
          <w:noProof/>
        </w:rPr>
        <w:t xml:space="preserve"> production de l’information (médias et autres sources d’information), </w:t>
      </w:r>
    </w:p>
    <w:p w14:paraId="7FFC1A9A" w14:textId="77777777" w:rsidR="008C1569" w:rsidRDefault="00BD028D" w:rsidP="008C1569">
      <w:pPr>
        <w:pStyle w:val="ListParagraph"/>
        <w:numPr>
          <w:ilvl w:val="0"/>
          <w:numId w:val="23"/>
        </w:numPr>
        <w:rPr>
          <w:noProof/>
        </w:rPr>
      </w:pPr>
      <w:r w:rsidRPr="00125F21">
        <w:rPr>
          <w:noProof/>
        </w:rPr>
        <w:t xml:space="preserve">des services </w:t>
      </w:r>
      <w:r w:rsidR="008C1569">
        <w:rPr>
          <w:noProof/>
        </w:rPr>
        <w:t>de</w:t>
      </w:r>
      <w:r w:rsidRPr="00125F21">
        <w:rPr>
          <w:noProof/>
        </w:rPr>
        <w:t xml:space="preserve"> traitements de l’information (informatique)</w:t>
      </w:r>
      <w:r w:rsidR="008C1569">
        <w:rPr>
          <w:noProof/>
        </w:rPr>
        <w:t xml:space="preserve">, </w:t>
      </w:r>
    </w:p>
    <w:p w14:paraId="7FFC1A9B" w14:textId="77777777" w:rsidR="008C1569" w:rsidRDefault="00BD028D" w:rsidP="008C1569">
      <w:pPr>
        <w:pStyle w:val="ListParagraph"/>
        <w:numPr>
          <w:ilvl w:val="0"/>
          <w:numId w:val="23"/>
        </w:numPr>
        <w:rPr>
          <w:noProof/>
        </w:rPr>
      </w:pPr>
      <w:r w:rsidRPr="00125F21">
        <w:rPr>
          <w:noProof/>
        </w:rPr>
        <w:t xml:space="preserve">des services liés à la transmission de ses informations (télécommunications). </w:t>
      </w:r>
    </w:p>
    <w:p w14:paraId="7FFC1A9C" w14:textId="77777777" w:rsidR="008C1569" w:rsidRDefault="00BD028D" w:rsidP="008C1569">
      <w:pPr>
        <w:rPr>
          <w:noProof/>
        </w:rPr>
      </w:pPr>
      <w:r w:rsidRPr="00125F21">
        <w:rPr>
          <w:noProof/>
        </w:rPr>
        <w:t>On s’intéresse ici aux services informatiques qui sont classés dans la division 62 de la NAF</w:t>
      </w:r>
      <w:r w:rsidR="008C1569">
        <w:rPr>
          <w:rStyle w:val="FootnoteReference"/>
          <w:noProof/>
        </w:rPr>
        <w:footnoteReference w:id="2"/>
      </w:r>
      <w:r w:rsidRPr="00125F21">
        <w:rPr>
          <w:noProof/>
        </w:rPr>
        <w:t xml:space="preserve">. Cette division regroupe 4 classes de secteurs : </w:t>
      </w:r>
    </w:p>
    <w:p w14:paraId="7FFC1A9D" w14:textId="77777777" w:rsidR="008C1569" w:rsidRDefault="00BD028D" w:rsidP="008C1569">
      <w:pPr>
        <w:pStyle w:val="ListParagraph"/>
        <w:numPr>
          <w:ilvl w:val="0"/>
          <w:numId w:val="23"/>
        </w:numPr>
        <w:rPr>
          <w:noProof/>
        </w:rPr>
      </w:pPr>
      <w:r w:rsidRPr="00125F21">
        <w:rPr>
          <w:noProof/>
        </w:rPr>
        <w:t xml:space="preserve">62.01 Programmation informatique, </w:t>
      </w:r>
    </w:p>
    <w:p w14:paraId="7FFC1A9E" w14:textId="77777777" w:rsidR="008C1569" w:rsidRDefault="00BD028D" w:rsidP="008C1569">
      <w:pPr>
        <w:pStyle w:val="ListParagraph"/>
        <w:numPr>
          <w:ilvl w:val="0"/>
          <w:numId w:val="23"/>
        </w:numPr>
        <w:rPr>
          <w:noProof/>
        </w:rPr>
      </w:pPr>
      <w:r w:rsidRPr="00125F21">
        <w:rPr>
          <w:noProof/>
        </w:rPr>
        <w:t xml:space="preserve">62.02 Conseil informatique, </w:t>
      </w:r>
    </w:p>
    <w:p w14:paraId="7FFC1A9F" w14:textId="77777777" w:rsidR="008C1569" w:rsidRDefault="00BD028D" w:rsidP="008C1569">
      <w:pPr>
        <w:pStyle w:val="ListParagraph"/>
        <w:numPr>
          <w:ilvl w:val="0"/>
          <w:numId w:val="23"/>
        </w:numPr>
        <w:rPr>
          <w:noProof/>
        </w:rPr>
      </w:pPr>
      <w:r w:rsidRPr="00125F21">
        <w:rPr>
          <w:noProof/>
        </w:rPr>
        <w:t>62.03 Gestion d'installations informatiques</w:t>
      </w:r>
      <w:r w:rsidR="008C1569">
        <w:rPr>
          <w:noProof/>
        </w:rPr>
        <w:t xml:space="preserve">, </w:t>
      </w:r>
    </w:p>
    <w:p w14:paraId="7FFC1AA0" w14:textId="77777777" w:rsidR="008C1569" w:rsidRDefault="00BD028D" w:rsidP="008C1569">
      <w:pPr>
        <w:pStyle w:val="ListParagraph"/>
        <w:numPr>
          <w:ilvl w:val="0"/>
          <w:numId w:val="23"/>
        </w:numPr>
        <w:rPr>
          <w:noProof/>
        </w:rPr>
      </w:pPr>
      <w:r w:rsidRPr="00125F21">
        <w:rPr>
          <w:noProof/>
        </w:rPr>
        <w:t xml:space="preserve">62.09 Autres activités informatiques. </w:t>
      </w:r>
    </w:p>
    <w:p w14:paraId="7FFC1AA1" w14:textId="77777777" w:rsidR="008C1569" w:rsidRDefault="00BD028D" w:rsidP="008C1569">
      <w:pPr>
        <w:rPr>
          <w:noProof/>
        </w:rPr>
      </w:pPr>
      <w:r w:rsidRPr="00125F21">
        <w:rPr>
          <w:noProof/>
        </w:rPr>
        <w:t xml:space="preserve">Ces classes de secteurs sont très liés et dépendantes. Le conseil occupe un rôle central puisque les demandeurs des services informatiques ont nécessairement besoin de conseils </w:t>
      </w:r>
      <w:r w:rsidR="008C1569">
        <w:rPr>
          <w:noProof/>
        </w:rPr>
        <w:t>avant de faire de l’informatique</w:t>
      </w:r>
      <w:r w:rsidRPr="00125F21">
        <w:rPr>
          <w:noProof/>
        </w:rPr>
        <w:t xml:space="preserve">. On s’intéresse donc au secteur « 62.02 conseil informatique » qui regroupe deux sous-classes de secteurs : « 62.02A conseil en systèmes et logiciels informatique » et « 62.02B tierces maintenance de systèmes et d’applications informatiques ». </w:t>
      </w:r>
    </w:p>
    <w:p w14:paraId="7FFC1AA2" w14:textId="77777777" w:rsidR="009216B8" w:rsidRDefault="00BD028D" w:rsidP="008C1569">
      <w:pPr>
        <w:rPr>
          <w:noProof/>
        </w:rPr>
      </w:pPr>
      <w:r w:rsidRPr="00125F21">
        <w:rPr>
          <w:noProof/>
        </w:rPr>
        <w:lastRenderedPageBreak/>
        <w:t xml:space="preserve">Le </w:t>
      </w:r>
      <w:r w:rsidR="008C1569">
        <w:rPr>
          <w:noProof/>
        </w:rPr>
        <w:t xml:space="preserve">premier </w:t>
      </w:r>
      <w:r w:rsidRPr="00125F21">
        <w:rPr>
          <w:noProof/>
        </w:rPr>
        <w:t xml:space="preserve">secteur 62.02A occupe une place plus importante aujourd’hui dans la phase de transformation numérique car les entreprises sont en train de mettre en place leurs systèmes d’information informatisés qui n’existaient </w:t>
      </w:r>
      <w:r w:rsidR="008C1569">
        <w:rPr>
          <w:noProof/>
        </w:rPr>
        <w:t>pas avant. Le deuxième secteur 62.02B</w:t>
      </w:r>
      <w:r w:rsidRPr="00125F21">
        <w:rPr>
          <w:noProof/>
        </w:rPr>
        <w:t xml:space="preserve"> s’intéresse à des systèmes d’informations déjà existants. Nous nous sommes intéressés donc au secteur 62.02A de conseil en systèmes et logiciels informatique.</w:t>
      </w:r>
      <w:r w:rsidR="008C1569">
        <w:rPr>
          <w:noProof/>
        </w:rPr>
        <w:t xml:space="preserve"> </w:t>
      </w:r>
    </w:p>
    <w:p w14:paraId="7FFC1AA3" w14:textId="77777777" w:rsidR="00481344" w:rsidRDefault="00481344" w:rsidP="00481344">
      <w:r>
        <w:t>Les services de conseils en informatiques sont caractérisés par des relations de longs termes avec les clients. Les entreprises de conseils doivent être référencées chez les acheteurs pour espérer décrocher un contrat de service. Il est difficile d’être référencé car d’abord il faut avoir une bonne réputation. Mais dès qu’une société de service est référencée chez un client comme sous-traitant, il devient difficile pour ce client de la changer. En effet, lorsque les ESN</w:t>
      </w:r>
      <w:bookmarkStart w:id="8" w:name="_Ref451821764"/>
      <w:r>
        <w:rPr>
          <w:rStyle w:val="FootnoteReference"/>
        </w:rPr>
        <w:footnoteReference w:id="3"/>
      </w:r>
      <w:bookmarkEnd w:id="8"/>
      <w:r>
        <w:t xml:space="preserve"> commencent à connaitre le système d’information et les processus métier du client et maitrisent ses technologies et son architecture, alors il devient difficile de les remplacer car ce sont des référents et le fait de les remplacer signifie qu’il faudrait subir le coût de formation du nouveau sous-traitant. Dans la réalité</w:t>
      </w:r>
      <w:r w:rsidR="0055373E">
        <w:t>,</w:t>
      </w:r>
      <w:r>
        <w:t xml:space="preserve"> ce sont les consultants qui connaissent le système d’information du client. La vraie valeur ajoutée de la société de conseil est sa capacité à organiser, à capitaliser les connaissances et à coordonner les différentes prestations de services de domaines différents des technologies de l’information pour garantir la réussite du projet informatique de leurs clients. </w:t>
      </w:r>
    </w:p>
    <w:p w14:paraId="7FFC1AA4" w14:textId="77777777" w:rsidR="00481344" w:rsidRDefault="00481344" w:rsidP="00481344">
      <w:r>
        <w:t xml:space="preserve">La sensibilité sur les prix dépend des segments des clients. En effet, les clients du secteur de la finance tirent les prix vers le haut alors que les clients de la grande distribution et de transport préfèrent des prix plus bas. </w:t>
      </w:r>
    </w:p>
    <w:p w14:paraId="7FFC1AA5" w14:textId="77777777" w:rsidR="00481344" w:rsidRDefault="00481344" w:rsidP="00481344">
      <w:pPr>
        <w:rPr>
          <w:noProof/>
        </w:rPr>
      </w:pPr>
      <w:r>
        <w:t>Généralement les DSI</w:t>
      </w:r>
      <w:r w:rsidR="00B44A1A">
        <w:rPr>
          <w:rStyle w:val="FootnoteReference"/>
        </w:rPr>
        <w:footnoteReference w:id="4"/>
      </w:r>
      <w:r>
        <w:t xml:space="preserve"> des clients veulent optimiser leurs coûts informatiques et dans ce coût il y a une composante importante pour les prestations de service de conseil. Pour répondre à ce besoin, les ESN doivent baisser leur prix de prestation mais comme les menaces des consultants de partir sont crédibles, ces ESN voient leurs marges diminuer. Pour améliorer leurs résultats, elles doivent s’organiser avec des méthodes agiles et </w:t>
      </w:r>
      <w:r w:rsidR="00404DB7">
        <w:t>Lean</w:t>
      </w:r>
      <w:r>
        <w:t xml:space="preserve"> pour baisser les coûts. De plus ils misent sur des stratégies RH pour attirer et fidéliser les consultants.</w:t>
      </w:r>
      <w:r w:rsidR="00404DB7">
        <w:t xml:space="preserve"> </w:t>
      </w:r>
    </w:p>
    <w:p w14:paraId="7FFC1AA6" w14:textId="77777777" w:rsidR="00681F75" w:rsidRDefault="00681F75" w:rsidP="00681F75">
      <w:pPr>
        <w:pStyle w:val="Heading2"/>
        <w:numPr>
          <w:ilvl w:val="0"/>
          <w:numId w:val="0"/>
        </w:numPr>
        <w:ind w:left="578"/>
      </w:pPr>
      <w:bookmarkStart w:id="9" w:name="_Toc454465548"/>
      <w:r>
        <w:t>La demande</w:t>
      </w:r>
      <w:bookmarkEnd w:id="9"/>
      <w:r>
        <w:t xml:space="preserve"> </w:t>
      </w:r>
    </w:p>
    <w:p w14:paraId="7FFC1AA7" w14:textId="77777777" w:rsidR="008C1569" w:rsidRDefault="008C1569" w:rsidP="00E52891">
      <w:r>
        <w:t>L</w:t>
      </w:r>
      <w:r w:rsidRPr="008C4FD6">
        <w:t xml:space="preserve">e marché du secteur conseil en systèmes et logiciels informatique (6202A) en France est de </w:t>
      </w:r>
      <w:r w:rsidRPr="006F3B24">
        <w:rPr>
          <w:b/>
          <w:bCs/>
        </w:rPr>
        <w:t>30 milliard d'euro en 2014</w:t>
      </w:r>
      <w:r w:rsidRPr="008C4FD6">
        <w:t xml:space="preserve">. Ce marché représente 50% du marché des services informatique, 20% du marché des TIC et </w:t>
      </w:r>
      <w:r w:rsidR="00E52891">
        <w:t>1</w:t>
      </w:r>
      <w:r w:rsidRPr="008C4FD6">
        <w:t>% du PIB avec un</w:t>
      </w:r>
      <w:r w:rsidR="006F3B24">
        <w:t xml:space="preserve"> </w:t>
      </w:r>
      <w:r w:rsidR="006F3B24" w:rsidRPr="006F3B24">
        <w:rPr>
          <w:b/>
          <w:bCs/>
        </w:rPr>
        <w:t>taux</w:t>
      </w:r>
      <w:r w:rsidRPr="006F3B24">
        <w:rPr>
          <w:b/>
          <w:bCs/>
        </w:rPr>
        <w:t xml:space="preserve"> croissance annuelle moyen de 6,5 % depuis 1995</w:t>
      </w:r>
      <w:r>
        <w:t>.</w:t>
      </w:r>
      <w:r w:rsidR="006F3B24">
        <w:t xml:space="preserve"> </w:t>
      </w:r>
    </w:p>
    <w:p w14:paraId="7FFC1AA8" w14:textId="77777777" w:rsidR="008C1569" w:rsidRDefault="008C1569" w:rsidP="008C1569">
      <w:r w:rsidRPr="008C4FD6">
        <w:t xml:space="preserve">Dans un contexte de transformation digitale de l'économie, les entreprises de ce secteur s’adressent à l'ensemble des autres secteurs d'activité où les clients sont de tailles différentes. Les principaux clients sont : </w:t>
      </w:r>
    </w:p>
    <w:p w14:paraId="7FFC1AA9" w14:textId="77777777" w:rsidR="008C1569" w:rsidRPr="008C1569" w:rsidRDefault="0055373E" w:rsidP="008C1569">
      <w:pPr>
        <w:pStyle w:val="ListParagraph"/>
        <w:numPr>
          <w:ilvl w:val="0"/>
          <w:numId w:val="23"/>
        </w:numPr>
      </w:pPr>
      <w:r w:rsidRPr="008C1569">
        <w:rPr>
          <w:rFonts w:eastAsia="Calibri"/>
        </w:rPr>
        <w:t>Les</w:t>
      </w:r>
      <w:r w:rsidR="008C1569" w:rsidRPr="008C1569">
        <w:rPr>
          <w:rFonts w:eastAsia="Calibri"/>
        </w:rPr>
        <w:t xml:space="preserve"> banques et les assurances, </w:t>
      </w:r>
    </w:p>
    <w:p w14:paraId="7FFC1AAA" w14:textId="77777777" w:rsidR="008C1569" w:rsidRDefault="0055373E" w:rsidP="008C1569">
      <w:pPr>
        <w:pStyle w:val="ListParagraph"/>
        <w:numPr>
          <w:ilvl w:val="0"/>
          <w:numId w:val="23"/>
        </w:numPr>
      </w:pPr>
      <w:r w:rsidRPr="008C4FD6">
        <w:t>Le</w:t>
      </w:r>
      <w:r w:rsidR="008C1569" w:rsidRPr="008C4FD6">
        <w:t xml:space="preserve"> secteur public, </w:t>
      </w:r>
    </w:p>
    <w:p w14:paraId="7FFC1AAB" w14:textId="77777777" w:rsidR="008C1569" w:rsidRDefault="0055373E" w:rsidP="008C1569">
      <w:pPr>
        <w:pStyle w:val="ListParagraph"/>
        <w:numPr>
          <w:ilvl w:val="0"/>
          <w:numId w:val="23"/>
        </w:numPr>
      </w:pPr>
      <w:r w:rsidRPr="008C4FD6">
        <w:t>L’industrie</w:t>
      </w:r>
      <w:r w:rsidR="008C1569" w:rsidRPr="008C4FD6">
        <w:t xml:space="preserve">, </w:t>
      </w:r>
    </w:p>
    <w:p w14:paraId="7FFC1AAC" w14:textId="77777777" w:rsidR="008C1569" w:rsidRDefault="0055373E" w:rsidP="008C1569">
      <w:pPr>
        <w:pStyle w:val="ListParagraph"/>
        <w:numPr>
          <w:ilvl w:val="0"/>
          <w:numId w:val="23"/>
        </w:numPr>
      </w:pPr>
      <w:r w:rsidRPr="008C4FD6">
        <w:t>Le</w:t>
      </w:r>
      <w:r w:rsidR="008C1569" w:rsidRPr="008C4FD6">
        <w:t xml:space="preserve"> commerce </w:t>
      </w:r>
      <w:r w:rsidR="008C1569">
        <w:t xml:space="preserve">de gros et de détail, </w:t>
      </w:r>
    </w:p>
    <w:p w14:paraId="7FFC1AAD" w14:textId="77777777" w:rsidR="008C1569" w:rsidRDefault="0055373E" w:rsidP="008C1569">
      <w:pPr>
        <w:pStyle w:val="ListParagraph"/>
        <w:numPr>
          <w:ilvl w:val="0"/>
          <w:numId w:val="23"/>
        </w:numPr>
      </w:pPr>
      <w:r>
        <w:t>Les</w:t>
      </w:r>
      <w:r w:rsidR="008C1569">
        <w:t xml:space="preserve"> télécoms,</w:t>
      </w:r>
      <w:r w:rsidR="008C1569" w:rsidRPr="008C4FD6">
        <w:t xml:space="preserve"> </w:t>
      </w:r>
    </w:p>
    <w:p w14:paraId="7FFC1AAE" w14:textId="77777777" w:rsidR="008C1569" w:rsidRDefault="0055373E" w:rsidP="008C1569">
      <w:pPr>
        <w:pStyle w:val="ListParagraph"/>
        <w:numPr>
          <w:ilvl w:val="0"/>
          <w:numId w:val="23"/>
        </w:numPr>
      </w:pPr>
      <w:r w:rsidRPr="008C4FD6">
        <w:t>L’énergie</w:t>
      </w:r>
      <w:r w:rsidR="008C1569" w:rsidRPr="008C4FD6">
        <w:t xml:space="preserve">. </w:t>
      </w:r>
    </w:p>
    <w:p w14:paraId="7FFC1AAF" w14:textId="77777777" w:rsidR="008C1569" w:rsidRDefault="008C1569" w:rsidP="00681F75">
      <w:r w:rsidRPr="008C4FD6">
        <w:lastRenderedPageBreak/>
        <w:t xml:space="preserve">Le digital n’est pas seulement un ensemble de nouvelles technologies d’information et de communication mais aussi une nouvelle mentalité et de nouveaux usages qui transforment les processus d’approvisionnement, de production, de distribution et de consommation. </w:t>
      </w:r>
      <w:r w:rsidR="00681F75" w:rsidRPr="008C4FD6">
        <w:t xml:space="preserve">Ce contexte </w:t>
      </w:r>
      <w:r w:rsidR="00681F75">
        <w:t>favorable à la</w:t>
      </w:r>
      <w:r w:rsidR="00681F75" w:rsidRPr="008C4FD6">
        <w:t xml:space="preserve"> croissance est donc le résultat des nouveaux besoins liés d’une part aux nouvelles technologies de l’information : les </w:t>
      </w:r>
      <w:r w:rsidR="00681F75" w:rsidRPr="008C4FD6">
        <w:rPr>
          <w:b/>
          <w:bCs/>
        </w:rPr>
        <w:t>SMACS</w:t>
      </w:r>
      <w:r w:rsidR="00681F75">
        <w:rPr>
          <w:rStyle w:val="FootnoteReference"/>
          <w:b/>
          <w:bCs/>
        </w:rPr>
        <w:footnoteReference w:id="5"/>
      </w:r>
      <w:r w:rsidR="00681F75" w:rsidRPr="008C4FD6">
        <w:t xml:space="preserve"> et d’autre part aux nouveaux usages comme le </w:t>
      </w:r>
      <w:r w:rsidR="00681F75" w:rsidRPr="008C4FD6">
        <w:rPr>
          <w:b/>
          <w:bCs/>
        </w:rPr>
        <w:t>DevOps</w:t>
      </w:r>
      <w:r w:rsidR="00681F75">
        <w:rPr>
          <w:rStyle w:val="FootnoteReference"/>
          <w:b/>
          <w:bCs/>
        </w:rPr>
        <w:footnoteReference w:id="6"/>
      </w:r>
      <w:r w:rsidR="00681F75" w:rsidRPr="008C4FD6">
        <w:t xml:space="preserve">, les nouvelles formes </w:t>
      </w:r>
      <w:r w:rsidR="00681F75">
        <w:t xml:space="preserve">digitales </w:t>
      </w:r>
      <w:r w:rsidR="00681F75" w:rsidRPr="008C4FD6">
        <w:t>de gestion de relation client, d</w:t>
      </w:r>
      <w:r w:rsidR="00681F75">
        <w:t>e nouvelles méthodes de travail</w:t>
      </w:r>
      <w:r w:rsidRPr="008C4FD6">
        <w:t xml:space="preserve">. </w:t>
      </w:r>
    </w:p>
    <w:p w14:paraId="7FFC1AB0" w14:textId="77777777" w:rsidR="00681F75" w:rsidRDefault="00681F75" w:rsidP="00681F75">
      <w:pPr>
        <w:pStyle w:val="Heading2"/>
        <w:numPr>
          <w:ilvl w:val="0"/>
          <w:numId w:val="0"/>
        </w:numPr>
        <w:ind w:left="578"/>
      </w:pPr>
      <w:bookmarkStart w:id="10" w:name="_Toc454465549"/>
      <w:r>
        <w:t>Les structures</w:t>
      </w:r>
      <w:bookmarkEnd w:id="10"/>
      <w:r>
        <w:t xml:space="preserve"> </w:t>
      </w:r>
    </w:p>
    <w:p w14:paraId="7FFC1AB1" w14:textId="77777777" w:rsidR="00481344" w:rsidRDefault="006F3B24" w:rsidP="006F3B24">
      <w:r>
        <w:t>En France, c</w:t>
      </w:r>
      <w:r w:rsidR="00681F75" w:rsidRPr="008C4FD6">
        <w:t>e secteur</w:t>
      </w:r>
      <w:r w:rsidR="00681F75">
        <w:t xml:space="preserve"> est constitué de </w:t>
      </w:r>
      <w:r w:rsidR="00681F75" w:rsidRPr="006F3B24">
        <w:rPr>
          <w:b/>
          <w:bCs/>
        </w:rPr>
        <w:t>20 000 entreprises</w:t>
      </w:r>
      <w:r>
        <w:t xml:space="preserve"> et 38 000 établissements</w:t>
      </w:r>
      <w:r w:rsidR="00B21D74">
        <w:t>.</w:t>
      </w:r>
      <w:r w:rsidR="00681F75" w:rsidRPr="008C4FD6">
        <w:t xml:space="preserve"> </w:t>
      </w:r>
      <w:r w:rsidR="00B21D74">
        <w:t>L</w:t>
      </w:r>
      <w:r w:rsidR="00681F75" w:rsidRPr="008C4FD6">
        <w:t>a TMO</w:t>
      </w:r>
      <w:r w:rsidR="00681F75">
        <w:rPr>
          <w:rStyle w:val="FootnoteReference"/>
        </w:rPr>
        <w:footnoteReference w:id="7"/>
      </w:r>
      <w:r w:rsidR="00681F75">
        <w:t xml:space="preserve">, </w:t>
      </w:r>
      <w:r w:rsidR="00681F75" w:rsidRPr="008C4FD6">
        <w:t>en 2014</w:t>
      </w:r>
      <w:r w:rsidR="00681F75">
        <w:t>,</w:t>
      </w:r>
      <w:r w:rsidR="00681F75" w:rsidRPr="008C4FD6">
        <w:t xml:space="preserve"> </w:t>
      </w:r>
      <w:r w:rsidR="00B21D74">
        <w:t>était</w:t>
      </w:r>
      <w:r w:rsidR="00681F75" w:rsidRPr="008C4FD6">
        <w:t xml:space="preserve"> autour de 160 millions d'euro</w:t>
      </w:r>
      <w:r w:rsidR="00681F75">
        <w:t xml:space="preserve"> de CA</w:t>
      </w:r>
      <w:r w:rsidR="00B21D74">
        <w:rPr>
          <w:rStyle w:val="FootnoteReference"/>
        </w:rPr>
        <w:footnoteReference w:id="8"/>
      </w:r>
      <w:r w:rsidR="00681F75" w:rsidRPr="008C4FD6">
        <w:t xml:space="preserve">. Cela </w:t>
      </w:r>
      <w:r w:rsidR="00681F75">
        <w:t xml:space="preserve">explique les nombreuses opérations de fusions et acquisitions observées mais le secteur reste peu concentré. En effet, </w:t>
      </w:r>
      <w:r w:rsidR="00481344">
        <w:t>e</w:t>
      </w:r>
      <w:r w:rsidR="00B21D74">
        <w:t>n 2014, le C4 était de 20%, le C100</w:t>
      </w:r>
      <w:r w:rsidR="00B21D74">
        <w:rPr>
          <w:rStyle w:val="FootnoteReference"/>
        </w:rPr>
        <w:footnoteReference w:id="9"/>
      </w:r>
      <w:r w:rsidR="00B21D74">
        <w:t xml:space="preserve"> était de 70% et le C500 était de 85%. L</w:t>
      </w:r>
      <w:r w:rsidR="00B21D74" w:rsidRPr="008C4FD6">
        <w:t>e premier quartile</w:t>
      </w:r>
      <w:r w:rsidR="00B21D74">
        <w:t xml:space="preserve"> (c'est-à-dire près de 5 000 entreprises),</w:t>
      </w:r>
      <w:r w:rsidR="00B21D74" w:rsidRPr="008C4FD6">
        <w:t xml:space="preserve"> partagent pratiquement tout le marché (99%).</w:t>
      </w:r>
      <w:r w:rsidR="00481344">
        <w:t xml:space="preserve"> L’IHH</w:t>
      </w:r>
      <w:r w:rsidR="00481344">
        <w:rPr>
          <w:rStyle w:val="FootnoteReference"/>
        </w:rPr>
        <w:footnoteReference w:id="10"/>
      </w:r>
      <w:r w:rsidR="00681F75">
        <w:t xml:space="preserve"> passe de 587 en 2004 à 168 en 2014. Cela s’explique par le fait que les barrières à l’entrée sont faibles et le marché qui est en croissance annuelle moyenne de 6,5%, attire les créations ex nihilo qui sont généralement des consultants indépendants et des </w:t>
      </w:r>
      <w:r w:rsidR="0055373E">
        <w:t>microentreprises</w:t>
      </w:r>
      <w:r w:rsidR="00681F75">
        <w:t xml:space="preserve">. </w:t>
      </w:r>
      <w:r w:rsidR="00481344">
        <w:t xml:space="preserve">En 2014, </w:t>
      </w:r>
      <w:r w:rsidR="00681F75">
        <w:t xml:space="preserve">91% des entreprises du secteur ont entre 1 et 49 salariés et emploient 14% de l’effectif global. Seulement 0,3 % des entreprises ont plus de 2000 salariés et emploient 44% de l’effectif. </w:t>
      </w:r>
    </w:p>
    <w:p w14:paraId="7FFC1AB2" w14:textId="77777777" w:rsidR="00481344" w:rsidRDefault="00681F75" w:rsidP="00B21D74">
      <w:r>
        <w:t xml:space="preserve">80% des entreprises sont </w:t>
      </w:r>
      <w:r w:rsidR="0055373E">
        <w:t>regroupées dans</w:t>
      </w:r>
      <w:r>
        <w:t xml:space="preserve"> 6 régions principales en France autour des pôles de compétitivité liés aux TIC et à la transformation digitale de l’économie.</w:t>
      </w:r>
      <w:r w:rsidR="00481344">
        <w:t xml:space="preserve"> Ces régions sont dans l’ordre d’importance : </w:t>
      </w:r>
    </w:p>
    <w:p w14:paraId="7FFC1AB3" w14:textId="77777777" w:rsidR="00481344" w:rsidRDefault="00481344" w:rsidP="00481344">
      <w:pPr>
        <w:pStyle w:val="ListParagraph"/>
        <w:numPr>
          <w:ilvl w:val="0"/>
          <w:numId w:val="23"/>
        </w:numPr>
      </w:pPr>
      <w:r>
        <w:t xml:space="preserve">Île-de-France, </w:t>
      </w:r>
    </w:p>
    <w:p w14:paraId="7FFC1AB4" w14:textId="77777777" w:rsidR="00481344" w:rsidRDefault="00481344" w:rsidP="00481344">
      <w:pPr>
        <w:pStyle w:val="ListParagraph"/>
        <w:numPr>
          <w:ilvl w:val="0"/>
          <w:numId w:val="23"/>
        </w:numPr>
      </w:pPr>
      <w:r>
        <w:t xml:space="preserve">Rhône-Alpes, </w:t>
      </w:r>
    </w:p>
    <w:p w14:paraId="7FFC1AB5" w14:textId="77777777" w:rsidR="00481344" w:rsidRDefault="00481344" w:rsidP="00481344">
      <w:pPr>
        <w:pStyle w:val="ListParagraph"/>
        <w:numPr>
          <w:ilvl w:val="0"/>
          <w:numId w:val="23"/>
        </w:numPr>
      </w:pPr>
      <w:r w:rsidRPr="00B53BF3">
        <w:t>Provence-Alpes-Côte d'Azur</w:t>
      </w:r>
      <w:r>
        <w:t xml:space="preserve">, </w:t>
      </w:r>
    </w:p>
    <w:p w14:paraId="7FFC1AB6" w14:textId="77777777" w:rsidR="00481344" w:rsidRDefault="00481344" w:rsidP="00481344">
      <w:pPr>
        <w:pStyle w:val="ListParagraph"/>
        <w:numPr>
          <w:ilvl w:val="0"/>
          <w:numId w:val="23"/>
        </w:numPr>
      </w:pPr>
      <w:r w:rsidRPr="00B53BF3">
        <w:t>Nord-Pas-de-Calais</w:t>
      </w:r>
      <w:r>
        <w:t xml:space="preserve">, </w:t>
      </w:r>
    </w:p>
    <w:p w14:paraId="7FFC1AB7" w14:textId="77777777" w:rsidR="00481344" w:rsidRDefault="00481344" w:rsidP="00481344">
      <w:pPr>
        <w:pStyle w:val="ListParagraph"/>
        <w:numPr>
          <w:ilvl w:val="0"/>
          <w:numId w:val="23"/>
        </w:numPr>
      </w:pPr>
      <w:r w:rsidRPr="00B53BF3">
        <w:t>Pays de la Loire</w:t>
      </w:r>
      <w:r>
        <w:t xml:space="preserve"> </w:t>
      </w:r>
    </w:p>
    <w:p w14:paraId="7FFC1AB8" w14:textId="77777777" w:rsidR="00481344" w:rsidRDefault="00481344" w:rsidP="00481344">
      <w:pPr>
        <w:pStyle w:val="ListParagraph"/>
        <w:numPr>
          <w:ilvl w:val="0"/>
          <w:numId w:val="23"/>
        </w:numPr>
      </w:pPr>
      <w:r w:rsidRPr="00B53BF3">
        <w:t>Midi-Pyrénées</w:t>
      </w:r>
      <w:r>
        <w:t xml:space="preserve">. </w:t>
      </w:r>
    </w:p>
    <w:p w14:paraId="7FFC1AB9" w14:textId="77777777" w:rsidR="00481344" w:rsidRDefault="00481344" w:rsidP="00481344">
      <w:r>
        <w:t xml:space="preserve">96% de l’effectif de ce secteur sont dans ces régions. La région de l’Île-de-France est la plus remarquable et regroupe 53% des établissements et 68% des effectifs autour des deux pôles de </w:t>
      </w:r>
      <w:r w:rsidR="0055373E">
        <w:t>compétitivité CAP</w:t>
      </w:r>
      <w:r>
        <w:t xml:space="preserve"> DIGITAL et SYSTEMATIC.</w:t>
      </w:r>
      <w:r w:rsidR="00404DB7">
        <w:t xml:space="preserve"> </w:t>
      </w:r>
    </w:p>
    <w:p w14:paraId="7FFC1ABA" w14:textId="77777777" w:rsidR="00BD028D" w:rsidRDefault="00404DB7" w:rsidP="007E36CA">
      <w:pPr>
        <w:pStyle w:val="Heading2"/>
        <w:numPr>
          <w:ilvl w:val="0"/>
          <w:numId w:val="0"/>
        </w:numPr>
        <w:ind w:left="578"/>
      </w:pPr>
      <w:bookmarkStart w:id="11" w:name="_Ref451822261"/>
      <w:bookmarkStart w:id="12" w:name="_Toc454465550"/>
      <w:r>
        <w:lastRenderedPageBreak/>
        <w:t>La concurrence</w:t>
      </w:r>
      <w:bookmarkEnd w:id="11"/>
      <w:bookmarkEnd w:id="12"/>
      <w:r>
        <w:t xml:space="preserve">  </w:t>
      </w:r>
    </w:p>
    <w:p w14:paraId="7FFC1ABB" w14:textId="77777777" w:rsidR="00404DB7" w:rsidRDefault="00404DB7" w:rsidP="00404DB7">
      <w:r>
        <w:t xml:space="preserve">Nous avons identifié cinq groupes stratégiques : </w:t>
      </w:r>
    </w:p>
    <w:p w14:paraId="7FFC1ABC" w14:textId="77777777" w:rsidR="00404DB7" w:rsidRDefault="00404DB7" w:rsidP="00F10C46">
      <w:pPr>
        <w:pStyle w:val="ListParagraph"/>
        <w:numPr>
          <w:ilvl w:val="0"/>
          <w:numId w:val="26"/>
        </w:numPr>
      </w:pPr>
      <w:r w:rsidRPr="008004AD">
        <w:rPr>
          <w:b/>
          <w:u w:val="single"/>
        </w:rPr>
        <w:t xml:space="preserve">Groupe des </w:t>
      </w:r>
      <w:r>
        <w:rPr>
          <w:b/>
          <w:u w:val="single"/>
        </w:rPr>
        <w:t xml:space="preserve">grands </w:t>
      </w:r>
      <w:r w:rsidRPr="008004AD">
        <w:rPr>
          <w:b/>
          <w:u w:val="single"/>
        </w:rPr>
        <w:t>généralistes</w:t>
      </w:r>
      <w:r w:rsidR="00F10C46">
        <w:t xml:space="preserve"> : ce </w:t>
      </w:r>
      <w:r>
        <w:t xml:space="preserve">sont des grandes entreprises qui cherchent à grandir encore et à s’installer dans plusieurs </w:t>
      </w:r>
      <w:r w:rsidR="00F10C46">
        <w:t>régions</w:t>
      </w:r>
      <w:r>
        <w:t xml:space="preserve">. Ces entreprises ont des logiques de stratégies de domination par les coûts. Elles essayent de mettre en œuvre leurs stratégies à travers un système d’organisation et de management </w:t>
      </w:r>
      <w:r w:rsidR="00F10C46">
        <w:t>A</w:t>
      </w:r>
      <w:r>
        <w:t xml:space="preserve">gile et </w:t>
      </w:r>
      <w:r w:rsidR="00F10C46">
        <w:t>L</w:t>
      </w:r>
      <w:r>
        <w:t xml:space="preserve">ean. Elles sous-traitent ponctuellement chez des entreprises des groupes des spécialistes et des experts ou bien chez leurs filiales à l’étranger pour les services standardisés pour bénéficier de main d’œuvre moins cher. </w:t>
      </w:r>
    </w:p>
    <w:p w14:paraId="7FFC1ABD" w14:textId="77777777" w:rsidR="00404DB7" w:rsidRDefault="00404DB7" w:rsidP="00404DB7">
      <w:pPr>
        <w:pStyle w:val="ListParagraph"/>
        <w:ind w:left="502"/>
      </w:pPr>
    </w:p>
    <w:p w14:paraId="7FFC1ABE" w14:textId="77777777" w:rsidR="00404DB7" w:rsidRDefault="00404DB7" w:rsidP="00F10C46">
      <w:pPr>
        <w:pStyle w:val="ListParagraph"/>
        <w:numPr>
          <w:ilvl w:val="0"/>
          <w:numId w:val="26"/>
        </w:numPr>
      </w:pPr>
      <w:r w:rsidRPr="008004AD">
        <w:rPr>
          <w:b/>
          <w:u w:val="single"/>
        </w:rPr>
        <w:t xml:space="preserve">Groupe des </w:t>
      </w:r>
      <w:r>
        <w:rPr>
          <w:b/>
          <w:u w:val="single"/>
        </w:rPr>
        <w:t xml:space="preserve">petits </w:t>
      </w:r>
      <w:r w:rsidRPr="008004AD">
        <w:rPr>
          <w:b/>
          <w:u w:val="single"/>
        </w:rPr>
        <w:t>généralistes</w:t>
      </w:r>
      <w:r w:rsidR="00F10C46">
        <w:t> :</w:t>
      </w:r>
      <w:r>
        <w:t xml:space="preserve"> ce sont des entreprises qui se positionnent sur plusieurs segments de la demande et plusieurs offres de services mais qui n’ont pas accès encore à des contrats grands comptes. Elles se différencient en se limitant à des clients de type PME/PMI. Ce sont des entreprises de taille intermédiaire qui suivent des stratégies mixte</w:t>
      </w:r>
      <w:r w:rsidR="00F10C46">
        <w:t>s</w:t>
      </w:r>
      <w:r>
        <w:t xml:space="preserve"> de différenciation sur quelques segments de clients et des stratégies d’optimisation de coût pour faire face aux problème de taux élevé de rotation de ses consultants. Ces entreprises commencent à grandir et sont sur le chemin des grandes entreprises du groupe des généralistes. </w:t>
      </w:r>
    </w:p>
    <w:p w14:paraId="7FFC1ABF" w14:textId="77777777" w:rsidR="00404DB7" w:rsidRDefault="00404DB7" w:rsidP="00404DB7">
      <w:pPr>
        <w:pStyle w:val="ListParagraph"/>
        <w:ind w:left="502"/>
      </w:pPr>
    </w:p>
    <w:p w14:paraId="7FFC1AC0" w14:textId="77777777" w:rsidR="00404DB7" w:rsidRDefault="00404DB7" w:rsidP="00F10C46">
      <w:pPr>
        <w:pStyle w:val="ListParagraph"/>
        <w:numPr>
          <w:ilvl w:val="0"/>
          <w:numId w:val="26"/>
        </w:numPr>
      </w:pPr>
      <w:r w:rsidRPr="008004AD">
        <w:rPr>
          <w:b/>
          <w:u w:val="single"/>
        </w:rPr>
        <w:t>Groupe des spécialistes métiers</w:t>
      </w:r>
      <w:r w:rsidR="00F10C46">
        <w:t> : ce sont des entreprises qui</w:t>
      </w:r>
      <w:r>
        <w:t xml:space="preserve"> offrent des services bien adaptés à un segment de clientèle. Ce sont des entreprises de taille moyenne et elles font la différence avec des consultants ayant une double compétence métier et technique. Elles essayent d’optimiser le temps de </w:t>
      </w:r>
      <w:r w:rsidRPr="007A57EF">
        <w:rPr>
          <w:i/>
          <w:iCs/>
        </w:rPr>
        <w:t>go-to-market</w:t>
      </w:r>
      <w:r>
        <w:t xml:space="preserve"> de nouvelles offres innovantes pour leurs clients. </w:t>
      </w:r>
    </w:p>
    <w:p w14:paraId="7FFC1AC1" w14:textId="77777777" w:rsidR="00404DB7" w:rsidRDefault="00404DB7" w:rsidP="00404DB7">
      <w:pPr>
        <w:pStyle w:val="ListParagraph"/>
        <w:ind w:left="502"/>
      </w:pPr>
    </w:p>
    <w:p w14:paraId="7FFC1AC2" w14:textId="77777777" w:rsidR="00404DB7" w:rsidRDefault="00404DB7" w:rsidP="00404DB7">
      <w:pPr>
        <w:pStyle w:val="ListParagraph"/>
        <w:numPr>
          <w:ilvl w:val="0"/>
          <w:numId w:val="26"/>
        </w:numPr>
      </w:pPr>
      <w:r w:rsidRPr="008004AD">
        <w:rPr>
          <w:b/>
          <w:u w:val="single"/>
        </w:rPr>
        <w:t>Groupe des experts techniques</w:t>
      </w:r>
      <w:r>
        <w:t xml:space="preserve"> qui donnent des services d’expertise dans un domaine technique très précis et qui peut être demandé par plusieurs segments de clients. Ce groupe est caractérisé par des entreprises de très petites tailles qui sont souvent des indépendants certifiés. </w:t>
      </w:r>
    </w:p>
    <w:p w14:paraId="7FFC1AC3" w14:textId="77777777" w:rsidR="00404DB7" w:rsidRDefault="00404DB7" w:rsidP="00404DB7">
      <w:pPr>
        <w:pStyle w:val="ListParagraph"/>
        <w:ind w:left="502"/>
      </w:pPr>
    </w:p>
    <w:p w14:paraId="7FFC1AC4" w14:textId="77777777" w:rsidR="00BD028D" w:rsidRDefault="00404DB7" w:rsidP="00F10C46">
      <w:pPr>
        <w:pStyle w:val="ListParagraph"/>
        <w:numPr>
          <w:ilvl w:val="0"/>
          <w:numId w:val="26"/>
        </w:numPr>
      </w:pPr>
      <w:r w:rsidRPr="00404DB7">
        <w:rPr>
          <w:b/>
          <w:u w:val="single"/>
        </w:rPr>
        <w:t>Groupe des talents</w:t>
      </w:r>
      <w:r w:rsidRPr="0057475A">
        <w:t xml:space="preserve"> </w:t>
      </w:r>
      <w:r w:rsidR="00F10C46">
        <w:t>qui</w:t>
      </w:r>
      <w:r>
        <w:t xml:space="preserve"> sont des entreprises qui se différencient en travaillant sur des sujets complexes et qui n’ont pas de solutions standards encore. Ce sont des petites entreprises ou bien des filiales de groupe de conseil en stratégie et qui créent des synergies entre le business consulting et l’IT consulting. Ils facturent très cher leurs prestations de service. Ils sélectionnent bien leurs consultants qui doivent être diplômés des plus grandes écoles et qui ont des certificats </w:t>
      </w:r>
      <w:r w:rsidRPr="00E23FD6">
        <w:t>professionnels (comme ITIL, PMP, ISTQB, SAP etc.)</w:t>
      </w:r>
      <w:r>
        <w:t xml:space="preserve"> </w:t>
      </w:r>
    </w:p>
    <w:p w14:paraId="7FFC1AC5" w14:textId="77777777" w:rsidR="00404DB7" w:rsidRDefault="00404DB7" w:rsidP="00404DB7">
      <w:pPr>
        <w:ind w:left="0"/>
      </w:pPr>
    </w:p>
    <w:p w14:paraId="7FFC1AC6" w14:textId="77777777" w:rsidR="00DF2E84" w:rsidRDefault="00DF2E84" w:rsidP="00404DB7">
      <w:pPr>
        <w:ind w:left="0"/>
      </w:pPr>
    </w:p>
    <w:p w14:paraId="7FFC1AC7" w14:textId="77777777" w:rsidR="00404DB7" w:rsidRPr="00C01913" w:rsidRDefault="00404DB7" w:rsidP="00814432">
      <w:pPr>
        <w:ind w:left="0"/>
      </w:pPr>
    </w:p>
    <w:p w14:paraId="7FFC1AC8" w14:textId="77777777" w:rsidR="00806CF3" w:rsidRDefault="00FC4333" w:rsidP="00464CB0">
      <w:pPr>
        <w:pStyle w:val="Heading1"/>
      </w:pPr>
      <w:bookmarkStart w:id="13" w:name="_Toc454465551"/>
      <w:r>
        <w:lastRenderedPageBreak/>
        <w:t>Définition de l’activit</w:t>
      </w:r>
      <w:r w:rsidR="00464CB0">
        <w:t>é</w:t>
      </w:r>
      <w:bookmarkEnd w:id="13"/>
    </w:p>
    <w:p w14:paraId="7FFC1AC9" w14:textId="77777777" w:rsidR="00595D47" w:rsidRDefault="00595D47" w:rsidP="00C60FE2">
      <w:pPr>
        <w:pStyle w:val="Heading2"/>
      </w:pPr>
      <w:bookmarkStart w:id="14" w:name="_Toc454465552"/>
      <w:r>
        <w:t>Définition du secteur</w:t>
      </w:r>
      <w:bookmarkEnd w:id="14"/>
      <w:r>
        <w:t xml:space="preserve"> </w:t>
      </w:r>
    </w:p>
    <w:p w14:paraId="7FFC1ACA" w14:textId="77777777" w:rsidR="00595D47" w:rsidRDefault="004D6418" w:rsidP="00F10C46">
      <w:pPr>
        <w:jc w:val="center"/>
      </w:pPr>
      <w:r w:rsidRPr="004D6418">
        <w:rPr>
          <w:noProof/>
        </w:rPr>
        <w:drawing>
          <wp:inline distT="0" distB="0" distL="0" distR="0" wp14:anchorId="7FFC1E14" wp14:editId="7FFC1E15">
            <wp:extent cx="5955792" cy="1744980"/>
            <wp:effectExtent l="0" t="0" r="6985" b="2667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FC1ACB" w14:textId="77777777" w:rsidR="00EA1D0D" w:rsidRPr="00D722A9" w:rsidRDefault="004D6418" w:rsidP="00EA1D0D">
      <w:pPr>
        <w:ind w:left="0"/>
        <w:rPr>
          <w:szCs w:val="22"/>
        </w:rPr>
      </w:pPr>
      <w:r w:rsidRPr="00C22AEB">
        <w:rPr>
          <w:szCs w:val="22"/>
        </w:rPr>
        <w:t xml:space="preserve">Selon la </w:t>
      </w:r>
      <w:r w:rsidR="00D722A9">
        <w:rPr>
          <w:szCs w:val="22"/>
        </w:rPr>
        <w:t>NAF</w:t>
      </w:r>
      <w:r w:rsidR="00D722A9">
        <w:rPr>
          <w:rStyle w:val="FootnoteReference"/>
          <w:szCs w:val="22"/>
        </w:rPr>
        <w:footnoteReference w:id="11"/>
      </w:r>
      <w:r w:rsidRPr="00C22AEB">
        <w:rPr>
          <w:szCs w:val="22"/>
        </w:rPr>
        <w:t xml:space="preserve"> de l’INSEE, le secteur 62.02A regroupe plusieurs activités liées aux systèmes d’information comme la planification, la conception (études et conseil), l’intégration, l’audit</w:t>
      </w:r>
      <w:r>
        <w:rPr>
          <w:szCs w:val="22"/>
        </w:rPr>
        <w:t xml:space="preserve"> et</w:t>
      </w:r>
      <w:r w:rsidRPr="00C22AEB">
        <w:rPr>
          <w:szCs w:val="22"/>
        </w:rPr>
        <w:t xml:space="preserve"> la formation. </w:t>
      </w:r>
      <w:r w:rsidR="00EA1D0D">
        <w:t xml:space="preserve">La sous-classe 6202A comprend : </w:t>
      </w:r>
    </w:p>
    <w:p w14:paraId="7FFC1ACC" w14:textId="77777777" w:rsidR="00EA1D0D" w:rsidRDefault="00EA1D0D" w:rsidP="00EA1D0D">
      <w:pPr>
        <w:pStyle w:val="ListParagraph"/>
        <w:numPr>
          <w:ilvl w:val="0"/>
          <w:numId w:val="26"/>
        </w:numPr>
      </w:pPr>
      <w:r>
        <w:t xml:space="preserve">La planification et la conception (études, conseil) de systèmes informatiques intégrant les technologies du matériel, des logiciels et des communications. Les services peuvent comprendre la formation des utilisateurs concernés. </w:t>
      </w:r>
    </w:p>
    <w:p w14:paraId="7FFC1ACD" w14:textId="77777777" w:rsidR="004D6418" w:rsidRDefault="00EA1D0D" w:rsidP="00EA1D0D">
      <w:pPr>
        <w:pStyle w:val="ListParagraph"/>
        <w:numPr>
          <w:ilvl w:val="0"/>
          <w:numId w:val="26"/>
        </w:numPr>
      </w:pPr>
      <w:r>
        <w:t>L</w:t>
      </w:r>
      <w:r w:rsidRPr="00EA1D0D">
        <w:t>e conseil en développement logiciel personnalisé : analyse des besoins et des problèmes des utilisateurs, formulation de propositions de solutions</w:t>
      </w:r>
    </w:p>
    <w:p w14:paraId="7FFC1ACE" w14:textId="77777777" w:rsidR="00D722A9" w:rsidRDefault="00EA1D0D" w:rsidP="00D722A9">
      <w:pPr>
        <w:ind w:left="0"/>
        <w:rPr>
          <w:szCs w:val="22"/>
        </w:rPr>
      </w:pPr>
      <w:r>
        <w:rPr>
          <w:szCs w:val="22"/>
        </w:rPr>
        <w:t>Selon la définition des CPF</w:t>
      </w:r>
      <w:r>
        <w:rPr>
          <w:rStyle w:val="FootnoteReference"/>
          <w:szCs w:val="22"/>
        </w:rPr>
        <w:footnoteReference w:id="12"/>
      </w:r>
      <w:r>
        <w:rPr>
          <w:szCs w:val="22"/>
        </w:rPr>
        <w:t xml:space="preserve"> de l’INSEE</w:t>
      </w:r>
      <w:r w:rsidR="00D722A9">
        <w:rPr>
          <w:szCs w:val="22"/>
        </w:rPr>
        <w:t xml:space="preserve">, </w:t>
      </w:r>
      <w:r w:rsidR="004D6418" w:rsidRPr="00C22AEB">
        <w:rPr>
          <w:szCs w:val="22"/>
        </w:rPr>
        <w:t xml:space="preserve">les catégories des services de ce secteur </w:t>
      </w:r>
      <w:r w:rsidR="00D722A9">
        <w:rPr>
          <w:szCs w:val="22"/>
        </w:rPr>
        <w:t xml:space="preserve">sont </w:t>
      </w:r>
      <w:r w:rsidR="004D6418" w:rsidRPr="00C22AEB">
        <w:rPr>
          <w:szCs w:val="22"/>
        </w:rPr>
        <w:t>:</w:t>
      </w:r>
    </w:p>
    <w:p w14:paraId="7FFC1ACF" w14:textId="77777777" w:rsidR="00D722A9" w:rsidRDefault="00D722A9" w:rsidP="00D722A9">
      <w:pPr>
        <w:pStyle w:val="ListParagraph"/>
        <w:numPr>
          <w:ilvl w:val="0"/>
          <w:numId w:val="26"/>
        </w:numPr>
        <w:rPr>
          <w:szCs w:val="22"/>
        </w:rPr>
      </w:pPr>
      <w:r w:rsidRPr="00D722A9">
        <w:rPr>
          <w:szCs w:val="22"/>
        </w:rPr>
        <w:t xml:space="preserve">62.02.10 "Services de conseil en configurations informatiques" qui comprend </w:t>
      </w:r>
    </w:p>
    <w:p w14:paraId="7FFC1AD0" w14:textId="77777777" w:rsidR="00D722A9" w:rsidRDefault="00D722A9" w:rsidP="00D722A9">
      <w:pPr>
        <w:pStyle w:val="ListParagraph"/>
        <w:numPr>
          <w:ilvl w:val="1"/>
          <w:numId w:val="26"/>
        </w:numPr>
        <w:rPr>
          <w:szCs w:val="22"/>
        </w:rPr>
      </w:pPr>
      <w:r>
        <w:rPr>
          <w:szCs w:val="22"/>
        </w:rPr>
        <w:t>C</w:t>
      </w:r>
      <w:r w:rsidRPr="00D722A9">
        <w:rPr>
          <w:szCs w:val="22"/>
        </w:rPr>
        <w:t>onseil et expertise en configurations informatiques, tels que l'évaluation des besoins et la planification des acquisitions</w:t>
      </w:r>
    </w:p>
    <w:p w14:paraId="7FFC1AD1" w14:textId="77777777" w:rsidR="00D722A9" w:rsidRDefault="00D722A9" w:rsidP="00D722A9">
      <w:pPr>
        <w:pStyle w:val="ListParagraph"/>
        <w:numPr>
          <w:ilvl w:val="1"/>
          <w:numId w:val="26"/>
        </w:numPr>
        <w:rPr>
          <w:szCs w:val="22"/>
        </w:rPr>
      </w:pPr>
      <w:r>
        <w:rPr>
          <w:szCs w:val="22"/>
        </w:rPr>
        <w:t>F</w:t>
      </w:r>
      <w:r w:rsidRPr="00D722A9">
        <w:rPr>
          <w:szCs w:val="22"/>
        </w:rPr>
        <w:t>ourniture de témoignages d'expert sur des questions concernant le matériel informatique</w:t>
      </w:r>
    </w:p>
    <w:p w14:paraId="7FFC1AD2" w14:textId="77777777" w:rsidR="00D722A9" w:rsidRDefault="00D722A9" w:rsidP="00D722A9">
      <w:pPr>
        <w:pStyle w:val="ListParagraph"/>
        <w:numPr>
          <w:ilvl w:val="1"/>
          <w:numId w:val="26"/>
        </w:numPr>
        <w:rPr>
          <w:szCs w:val="22"/>
        </w:rPr>
      </w:pPr>
      <w:r>
        <w:rPr>
          <w:szCs w:val="22"/>
        </w:rPr>
        <w:t>S</w:t>
      </w:r>
      <w:r w:rsidRPr="00D722A9">
        <w:rPr>
          <w:szCs w:val="22"/>
        </w:rPr>
        <w:t>ervices associant l'évaluation des besoins informatiques du client, la planification des acquisitions de matériels et de logiciels, le développement de spécifications de systèmes et l'installation du nouveau système</w:t>
      </w:r>
    </w:p>
    <w:p w14:paraId="7FFC1AD3" w14:textId="77777777" w:rsidR="00D722A9" w:rsidRDefault="00D722A9" w:rsidP="00D722A9">
      <w:pPr>
        <w:pStyle w:val="ListParagraph"/>
        <w:numPr>
          <w:ilvl w:val="1"/>
          <w:numId w:val="26"/>
        </w:numPr>
        <w:rPr>
          <w:szCs w:val="22"/>
        </w:rPr>
      </w:pPr>
      <w:r>
        <w:rPr>
          <w:szCs w:val="22"/>
        </w:rPr>
        <w:t>S</w:t>
      </w:r>
      <w:r w:rsidRPr="00D722A9">
        <w:rPr>
          <w:szCs w:val="22"/>
        </w:rPr>
        <w:t>ervices d'intégration de systèmes informatiques, c'est-à-dire l'analyse de la configuration du client, des besoins informatiques actuels et futurs du client, des achats de nouveaux matériels et logiciels du client et l'intégration des nouveaux matériels et logiciels dans le système informatique du client</w:t>
      </w:r>
    </w:p>
    <w:p w14:paraId="7FFC1AD4" w14:textId="77777777" w:rsidR="00D722A9" w:rsidRDefault="00D722A9" w:rsidP="00D722A9">
      <w:pPr>
        <w:pStyle w:val="ListParagraph"/>
        <w:numPr>
          <w:ilvl w:val="0"/>
          <w:numId w:val="26"/>
        </w:numPr>
        <w:rPr>
          <w:szCs w:val="22"/>
        </w:rPr>
      </w:pPr>
      <w:r w:rsidRPr="00D722A9">
        <w:rPr>
          <w:szCs w:val="22"/>
        </w:rPr>
        <w:lastRenderedPageBreak/>
        <w:t xml:space="preserve">62.02.20 "Services de conseils en systèmes et logiciels informatiques" qui comprend : </w:t>
      </w:r>
    </w:p>
    <w:p w14:paraId="7FFC1AD5" w14:textId="77777777" w:rsidR="00D722A9" w:rsidRDefault="00D722A9" w:rsidP="00D722A9">
      <w:pPr>
        <w:pStyle w:val="ListParagraph"/>
        <w:numPr>
          <w:ilvl w:val="1"/>
          <w:numId w:val="26"/>
        </w:numPr>
        <w:rPr>
          <w:szCs w:val="22"/>
        </w:rPr>
      </w:pPr>
      <w:r>
        <w:rPr>
          <w:szCs w:val="22"/>
        </w:rPr>
        <w:t>C</w:t>
      </w:r>
      <w:r w:rsidRPr="00D722A9">
        <w:rPr>
          <w:szCs w:val="22"/>
        </w:rPr>
        <w:t>onseil et expertise en systèmes et logiciels informatiques personnalisés, tels que l'évaluation des besoins et la planification des acquisitions</w:t>
      </w:r>
    </w:p>
    <w:p w14:paraId="7FFC1AD6" w14:textId="77777777" w:rsidR="00D722A9" w:rsidRDefault="00D722A9" w:rsidP="00D722A9">
      <w:pPr>
        <w:pStyle w:val="ListParagraph"/>
        <w:numPr>
          <w:ilvl w:val="1"/>
          <w:numId w:val="26"/>
        </w:numPr>
        <w:rPr>
          <w:szCs w:val="22"/>
        </w:rPr>
      </w:pPr>
      <w:r>
        <w:rPr>
          <w:szCs w:val="22"/>
        </w:rPr>
        <w:t>D</w:t>
      </w:r>
      <w:r w:rsidRPr="00D722A9">
        <w:rPr>
          <w:szCs w:val="22"/>
        </w:rPr>
        <w:t>éveloppement de spécifications de systèmes et logiciels informatiques</w:t>
      </w:r>
    </w:p>
    <w:p w14:paraId="7FFC1AD7" w14:textId="77777777" w:rsidR="004D6418" w:rsidRPr="00D722A9" w:rsidRDefault="00D722A9" w:rsidP="00D722A9">
      <w:pPr>
        <w:pStyle w:val="ListParagraph"/>
        <w:numPr>
          <w:ilvl w:val="1"/>
          <w:numId w:val="26"/>
        </w:numPr>
        <w:rPr>
          <w:szCs w:val="22"/>
        </w:rPr>
      </w:pPr>
      <w:r>
        <w:rPr>
          <w:szCs w:val="22"/>
        </w:rPr>
        <w:t>C</w:t>
      </w:r>
      <w:r w:rsidRPr="00D722A9">
        <w:rPr>
          <w:szCs w:val="22"/>
        </w:rPr>
        <w:t>onseils en matière de sécurité</w:t>
      </w:r>
    </w:p>
    <w:p w14:paraId="7FFC1AD8" w14:textId="77777777" w:rsidR="00C60FE2" w:rsidRDefault="00595D47" w:rsidP="008E474D">
      <w:pPr>
        <w:pStyle w:val="Heading2"/>
      </w:pPr>
      <w:bookmarkStart w:id="15" w:name="_Toc454465553"/>
      <w:r>
        <w:t>Chiffres clés</w:t>
      </w:r>
      <w:bookmarkEnd w:id="15"/>
      <w:r w:rsidR="008E474D">
        <w:t xml:space="preserve"> </w:t>
      </w:r>
    </w:p>
    <w:tbl>
      <w:tblPr>
        <w:tblW w:w="11407" w:type="dxa"/>
        <w:tblInd w:w="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1"/>
        <w:gridCol w:w="6946"/>
      </w:tblGrid>
      <w:tr w:rsidR="004D6418" w:rsidRPr="00C22AEB" w14:paraId="7FFC1ADB" w14:textId="77777777" w:rsidTr="001B245F">
        <w:trPr>
          <w:trHeight w:val="298"/>
        </w:trPr>
        <w:tc>
          <w:tcPr>
            <w:tcW w:w="4461" w:type="dxa"/>
          </w:tcPr>
          <w:p w14:paraId="7FFC1AD9" w14:textId="77777777" w:rsidR="004D6418" w:rsidRPr="00C22AEB" w:rsidRDefault="004D6418" w:rsidP="004D6418">
            <w:r w:rsidRPr="00C22AEB">
              <w:t>Nombre d’entreprises </w:t>
            </w:r>
          </w:p>
        </w:tc>
        <w:tc>
          <w:tcPr>
            <w:tcW w:w="6946" w:type="dxa"/>
          </w:tcPr>
          <w:p w14:paraId="7FFC1ADA" w14:textId="77777777" w:rsidR="004D6418" w:rsidRPr="00C22AEB" w:rsidRDefault="00C84578" w:rsidP="007D41EB">
            <w:r>
              <w:t>20</w:t>
            </w:r>
            <w:r w:rsidR="007D41EB">
              <w:t> </w:t>
            </w:r>
            <w:r>
              <w:t>000</w:t>
            </w:r>
            <w:r w:rsidR="007D41EB">
              <w:t xml:space="preserve"> </w:t>
            </w:r>
          </w:p>
        </w:tc>
      </w:tr>
      <w:tr w:rsidR="007D41EB" w:rsidRPr="00C22AEB" w14:paraId="7FFC1ADE" w14:textId="77777777" w:rsidTr="008E474D">
        <w:trPr>
          <w:trHeight w:val="361"/>
        </w:trPr>
        <w:tc>
          <w:tcPr>
            <w:tcW w:w="4461" w:type="dxa"/>
          </w:tcPr>
          <w:p w14:paraId="7FFC1ADC" w14:textId="77777777" w:rsidR="007D41EB" w:rsidRPr="00C22AEB" w:rsidRDefault="007D41EB" w:rsidP="004D6418">
            <w:r>
              <w:t>Nombre d’unités légales</w:t>
            </w:r>
            <w:r w:rsidR="008B0A80">
              <w:t xml:space="preserve"> </w:t>
            </w:r>
          </w:p>
        </w:tc>
        <w:tc>
          <w:tcPr>
            <w:tcW w:w="6946" w:type="dxa"/>
          </w:tcPr>
          <w:p w14:paraId="7FFC1ADD" w14:textId="77777777" w:rsidR="007D41EB" w:rsidRDefault="007D41EB" w:rsidP="007D41EB">
            <w:r w:rsidRPr="007D41EB">
              <w:t>38</w:t>
            </w:r>
            <w:r>
              <w:t xml:space="preserve"> 000 </w:t>
            </w:r>
          </w:p>
        </w:tc>
      </w:tr>
      <w:tr w:rsidR="004D6418" w:rsidRPr="00C22AEB" w14:paraId="7FFC1AE1" w14:textId="77777777" w:rsidTr="00C84578">
        <w:tc>
          <w:tcPr>
            <w:tcW w:w="4461" w:type="dxa"/>
          </w:tcPr>
          <w:p w14:paraId="7FFC1ADF" w14:textId="77777777" w:rsidR="004D6418" w:rsidRPr="00C22AEB" w:rsidRDefault="004D6418" w:rsidP="004D6418">
            <w:r w:rsidRPr="00C22AEB">
              <w:t>Effectifs </w:t>
            </w:r>
            <w:r w:rsidR="008B0A80">
              <w:t xml:space="preserve">en </w:t>
            </w:r>
            <w:r w:rsidRPr="00C22AEB">
              <w:t xml:space="preserve">ETP (équivalent temps plein) </w:t>
            </w:r>
          </w:p>
        </w:tc>
        <w:tc>
          <w:tcPr>
            <w:tcW w:w="6946" w:type="dxa"/>
          </w:tcPr>
          <w:p w14:paraId="7FFC1AE0" w14:textId="77777777" w:rsidR="004D6418" w:rsidRPr="00C22AEB" w:rsidRDefault="004D6418" w:rsidP="00C84578">
            <w:r w:rsidRPr="00C22AEB">
              <w:t>185</w:t>
            </w:r>
            <w:r w:rsidR="005D46C0">
              <w:t> </w:t>
            </w:r>
            <w:r w:rsidR="00C84578">
              <w:t>000</w:t>
            </w:r>
            <w:r w:rsidR="005D46C0">
              <w:t xml:space="preserve"> </w:t>
            </w:r>
          </w:p>
        </w:tc>
      </w:tr>
      <w:tr w:rsidR="004D6418" w:rsidRPr="00C22AEB" w14:paraId="7FFC1AEB" w14:textId="77777777" w:rsidTr="00C84578">
        <w:tc>
          <w:tcPr>
            <w:tcW w:w="4461" w:type="dxa"/>
          </w:tcPr>
          <w:p w14:paraId="7FFC1AE2" w14:textId="77777777" w:rsidR="008E474D" w:rsidRDefault="008E474D" w:rsidP="00763BC9">
            <w:pPr>
              <w:jc w:val="mediumKashida"/>
            </w:pPr>
          </w:p>
          <w:p w14:paraId="7FFC1AE3" w14:textId="77777777" w:rsidR="008E474D" w:rsidRDefault="008E474D" w:rsidP="00763BC9">
            <w:pPr>
              <w:jc w:val="mediumKashida"/>
            </w:pPr>
          </w:p>
          <w:p w14:paraId="7FFC1AE4" w14:textId="77777777" w:rsidR="004D6418" w:rsidRPr="00C22AEB" w:rsidRDefault="004D6418" w:rsidP="00763BC9">
            <w:pPr>
              <w:jc w:val="mediumKashida"/>
            </w:pPr>
            <w:r w:rsidRPr="00C22AEB">
              <w:t>Chiffre d’affaires </w:t>
            </w:r>
            <w:r w:rsidR="00ED7FB7">
              <w:t xml:space="preserve">(secteur) </w:t>
            </w:r>
          </w:p>
        </w:tc>
        <w:tc>
          <w:tcPr>
            <w:tcW w:w="6946" w:type="dxa"/>
          </w:tcPr>
          <w:p w14:paraId="7FFC1AE5" w14:textId="77777777" w:rsidR="008E3705" w:rsidRDefault="00C84578" w:rsidP="008E3705">
            <w:pPr>
              <w:rPr>
                <w:color w:val="000000"/>
                <w:szCs w:val="22"/>
              </w:rPr>
            </w:pPr>
            <w:r w:rsidRPr="003542D8">
              <w:rPr>
                <w:color w:val="000000"/>
                <w:szCs w:val="22"/>
              </w:rPr>
              <w:t>30 milliard d’euro en 201</w:t>
            </w:r>
            <w:r w:rsidR="008E3705">
              <w:rPr>
                <w:color w:val="000000"/>
                <w:szCs w:val="22"/>
              </w:rPr>
              <w:t>3</w:t>
            </w:r>
          </w:p>
          <w:p w14:paraId="7FFC1AE6" w14:textId="77777777" w:rsidR="007D41EB" w:rsidRDefault="008E3705" w:rsidP="008E3705">
            <w:pPr>
              <w:rPr>
                <w:color w:val="000000"/>
                <w:szCs w:val="22"/>
              </w:rPr>
            </w:pPr>
            <w:r>
              <w:rPr>
                <w:color w:val="000000"/>
                <w:szCs w:val="22"/>
              </w:rPr>
              <w:t xml:space="preserve">29 milliard </w:t>
            </w:r>
            <w:r w:rsidRPr="003542D8">
              <w:rPr>
                <w:color w:val="000000"/>
                <w:szCs w:val="22"/>
              </w:rPr>
              <w:t>d’euro en 201</w:t>
            </w:r>
            <w:r>
              <w:rPr>
                <w:color w:val="000000"/>
                <w:szCs w:val="22"/>
              </w:rPr>
              <w:t>2</w:t>
            </w:r>
          </w:p>
          <w:p w14:paraId="7FFC1AE7" w14:textId="77777777" w:rsidR="008E3705" w:rsidRDefault="008E3705" w:rsidP="007D41EB">
            <w:pPr>
              <w:rPr>
                <w:color w:val="000000"/>
                <w:szCs w:val="22"/>
              </w:rPr>
            </w:pPr>
            <w:r>
              <w:rPr>
                <w:color w:val="000000"/>
                <w:szCs w:val="22"/>
              </w:rPr>
              <w:t xml:space="preserve">Représente : </w:t>
            </w:r>
          </w:p>
          <w:p w14:paraId="7FFC1AE8" w14:textId="77777777" w:rsidR="008E3705" w:rsidRDefault="007D41EB" w:rsidP="008E3705">
            <w:pPr>
              <w:pStyle w:val="ListParagraph"/>
              <w:numPr>
                <w:ilvl w:val="0"/>
                <w:numId w:val="26"/>
              </w:numPr>
              <w:rPr>
                <w:color w:val="000000"/>
                <w:szCs w:val="22"/>
              </w:rPr>
            </w:pPr>
            <w:r w:rsidRPr="008E3705">
              <w:rPr>
                <w:color w:val="000000"/>
                <w:szCs w:val="22"/>
              </w:rPr>
              <w:t xml:space="preserve">50% des services informatique </w:t>
            </w:r>
          </w:p>
          <w:p w14:paraId="7FFC1AE9" w14:textId="77777777" w:rsidR="008E3705" w:rsidRDefault="007D41EB" w:rsidP="008E3705">
            <w:pPr>
              <w:pStyle w:val="ListParagraph"/>
              <w:numPr>
                <w:ilvl w:val="0"/>
                <w:numId w:val="26"/>
              </w:numPr>
              <w:rPr>
                <w:color w:val="000000"/>
                <w:szCs w:val="22"/>
              </w:rPr>
            </w:pPr>
            <w:r w:rsidRPr="008E3705">
              <w:rPr>
                <w:color w:val="000000"/>
                <w:szCs w:val="22"/>
              </w:rPr>
              <w:t xml:space="preserve">20% des TIC </w:t>
            </w:r>
          </w:p>
          <w:p w14:paraId="7FFC1AEA" w14:textId="77777777" w:rsidR="007D41EB" w:rsidRPr="008E3705" w:rsidRDefault="00E52891" w:rsidP="008E3705">
            <w:pPr>
              <w:pStyle w:val="ListParagraph"/>
              <w:numPr>
                <w:ilvl w:val="0"/>
                <w:numId w:val="26"/>
              </w:numPr>
              <w:rPr>
                <w:color w:val="000000"/>
                <w:szCs w:val="22"/>
              </w:rPr>
            </w:pPr>
            <w:r w:rsidRPr="008E3705">
              <w:rPr>
                <w:color w:val="000000"/>
                <w:szCs w:val="22"/>
              </w:rPr>
              <w:t>1</w:t>
            </w:r>
            <w:r w:rsidR="007D41EB" w:rsidRPr="008E3705">
              <w:rPr>
                <w:color w:val="000000"/>
                <w:szCs w:val="22"/>
              </w:rPr>
              <w:t xml:space="preserve">% du PIB </w:t>
            </w:r>
          </w:p>
        </w:tc>
      </w:tr>
      <w:tr w:rsidR="008E3705" w:rsidRPr="00C22AEB" w14:paraId="7FFC1AEE" w14:textId="77777777" w:rsidTr="00C84578">
        <w:tc>
          <w:tcPr>
            <w:tcW w:w="4461" w:type="dxa"/>
          </w:tcPr>
          <w:p w14:paraId="7FFC1AEC" w14:textId="77777777" w:rsidR="008E3705" w:rsidRPr="00C22AEB" w:rsidRDefault="008E3705" w:rsidP="00763BC9">
            <w:pPr>
              <w:jc w:val="mediumKashida"/>
            </w:pPr>
            <w:r>
              <w:t>Chiffre d’affaire (branche)</w:t>
            </w:r>
          </w:p>
        </w:tc>
        <w:tc>
          <w:tcPr>
            <w:tcW w:w="6946" w:type="dxa"/>
          </w:tcPr>
          <w:p w14:paraId="7FFC1AED" w14:textId="77777777" w:rsidR="008E3705" w:rsidRPr="003542D8" w:rsidRDefault="008E3705" w:rsidP="008E3705">
            <w:pPr>
              <w:rPr>
                <w:color w:val="000000"/>
                <w:szCs w:val="22"/>
              </w:rPr>
            </w:pPr>
            <w:r>
              <w:rPr>
                <w:color w:val="000000"/>
                <w:szCs w:val="22"/>
              </w:rPr>
              <w:t xml:space="preserve">26 milliard </w:t>
            </w:r>
            <w:r w:rsidRPr="003542D8">
              <w:rPr>
                <w:color w:val="000000"/>
                <w:szCs w:val="22"/>
              </w:rPr>
              <w:t>d’euro en 201</w:t>
            </w:r>
            <w:r>
              <w:rPr>
                <w:color w:val="000000"/>
                <w:szCs w:val="22"/>
              </w:rPr>
              <w:t>2</w:t>
            </w:r>
          </w:p>
        </w:tc>
      </w:tr>
      <w:tr w:rsidR="004D6418" w:rsidRPr="00C22AEB" w14:paraId="7FFC1AF1" w14:textId="77777777" w:rsidTr="00C84578">
        <w:tc>
          <w:tcPr>
            <w:tcW w:w="4461" w:type="dxa"/>
          </w:tcPr>
          <w:p w14:paraId="7FFC1AEF" w14:textId="77777777" w:rsidR="004D6418" w:rsidRPr="00C22AEB" w:rsidRDefault="00C84578" w:rsidP="004D6418">
            <w:r>
              <w:t xml:space="preserve">Taux d’exportation </w:t>
            </w:r>
            <w:r>
              <w:rPr>
                <w:rStyle w:val="FootnoteReference"/>
              </w:rPr>
              <w:footnoteReference w:id="13"/>
            </w:r>
            <w:r w:rsidR="005D46C0">
              <w:t xml:space="preserve"> </w:t>
            </w:r>
          </w:p>
        </w:tc>
        <w:tc>
          <w:tcPr>
            <w:tcW w:w="6946" w:type="dxa"/>
          </w:tcPr>
          <w:p w14:paraId="7FFC1AF0" w14:textId="77777777" w:rsidR="004D6418" w:rsidRPr="00C22AEB" w:rsidRDefault="00ED7FB7" w:rsidP="00C84578">
            <w:r>
              <w:t>10</w:t>
            </w:r>
            <w:r w:rsidR="00C84578">
              <w:t xml:space="preserve">% </w:t>
            </w:r>
          </w:p>
        </w:tc>
      </w:tr>
    </w:tbl>
    <w:p w14:paraId="7FFC1AF2" w14:textId="77777777" w:rsidR="005A1115" w:rsidRPr="005A1115" w:rsidRDefault="008E474D" w:rsidP="008E474D">
      <w:pPr>
        <w:jc w:val="left"/>
      </w:pPr>
      <w:r>
        <w:t xml:space="preserve">Source : INSEE </w:t>
      </w:r>
    </w:p>
    <w:p w14:paraId="7FFC1AF3" w14:textId="77777777" w:rsidR="00C84578" w:rsidRDefault="008E60D7" w:rsidP="00F82406">
      <w:r>
        <w:t xml:space="preserve">Les graphiques </w:t>
      </w:r>
      <w:r w:rsidR="00F82406">
        <w:t xml:space="preserve">et le benchmark du paragraphe </w:t>
      </w:r>
      <w:r w:rsidR="00567BB5">
        <w:fldChar w:fldCharType="begin"/>
      </w:r>
      <w:r w:rsidR="00F82406">
        <w:instrText xml:space="preserve"> REF _Ref451797590 \r \h </w:instrText>
      </w:r>
      <w:r w:rsidR="00567BB5">
        <w:fldChar w:fldCharType="separate"/>
      </w:r>
      <w:r w:rsidR="00CB4331">
        <w:rPr>
          <w:cs/>
        </w:rPr>
        <w:t>‎</w:t>
      </w:r>
      <w:r w:rsidR="00CB4331">
        <w:t>7</w:t>
      </w:r>
      <w:r w:rsidR="00567BB5">
        <w:fldChar w:fldCharType="end"/>
      </w:r>
      <w:r>
        <w:t xml:space="preserve"> montrent la place du secteur dans l’économie. </w:t>
      </w:r>
    </w:p>
    <w:p w14:paraId="7FFC1AF4" w14:textId="77777777" w:rsidR="00D221E9" w:rsidRDefault="00D221E9">
      <w:pPr>
        <w:spacing w:before="0" w:after="0"/>
        <w:ind w:left="0"/>
        <w:jc w:val="left"/>
      </w:pPr>
    </w:p>
    <w:p w14:paraId="7FFC1AF5" w14:textId="77777777" w:rsidR="00FC4333" w:rsidRDefault="00E1425E" w:rsidP="00FC4333">
      <w:pPr>
        <w:pStyle w:val="Heading1"/>
      </w:pPr>
      <w:bookmarkStart w:id="16" w:name="_Toc454465554"/>
      <w:r>
        <w:lastRenderedPageBreak/>
        <w:t xml:space="preserve">Principaux </w:t>
      </w:r>
      <w:r w:rsidR="00FC4333">
        <w:t>acteurs de la profession</w:t>
      </w:r>
      <w:bookmarkEnd w:id="16"/>
      <w:r w:rsidR="00FC4333">
        <w:t xml:space="preserve"> </w:t>
      </w:r>
    </w:p>
    <w:p w14:paraId="7FFC1AF6" w14:textId="77777777" w:rsidR="009C261D" w:rsidRDefault="00595D47" w:rsidP="00595D47">
      <w:pPr>
        <w:pStyle w:val="Heading2"/>
      </w:pPr>
      <w:bookmarkStart w:id="17" w:name="_Ref451795924"/>
      <w:bookmarkStart w:id="18" w:name="_Toc454465555"/>
      <w:r w:rsidRPr="00595D47">
        <w:t>Les principales entreprises du secteur</w:t>
      </w:r>
      <w:bookmarkEnd w:id="17"/>
      <w:bookmarkEnd w:id="18"/>
    </w:p>
    <w:p w14:paraId="7FFC1AF7" w14:textId="77777777" w:rsidR="00E019B3" w:rsidRPr="00E019B3" w:rsidRDefault="002828B7" w:rsidP="00E019B3">
      <w:r>
        <w:t xml:space="preserve">Nous listons dans le tableau suivant le top 35 des entreprises du secteur qui partagent un </w:t>
      </w:r>
      <w:r w:rsidR="00120E3B">
        <w:t>peu</w:t>
      </w:r>
      <w:r>
        <w:t xml:space="preserve"> plus de 50% du marché. (Source : Diane) </w:t>
      </w:r>
    </w:p>
    <w:p w14:paraId="7FFC1AF8" w14:textId="77777777" w:rsidR="00595D47" w:rsidRDefault="001B1178" w:rsidP="001B1178">
      <w:pPr>
        <w:jc w:val="center"/>
      </w:pPr>
      <w:r w:rsidRPr="001B1178">
        <w:rPr>
          <w:noProof/>
        </w:rPr>
        <w:drawing>
          <wp:inline distT="0" distB="0" distL="0" distR="0" wp14:anchorId="7FFC1E16" wp14:editId="7FFC1E17">
            <wp:extent cx="6851817" cy="393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687" t="1202" r="1026"/>
                    <a:stretch>
                      <a:fillRect/>
                    </a:stretch>
                  </pic:blipFill>
                  <pic:spPr bwMode="auto">
                    <a:xfrm>
                      <a:off x="0" y="0"/>
                      <a:ext cx="6851817" cy="3937000"/>
                    </a:xfrm>
                    <a:prstGeom prst="rect">
                      <a:avLst/>
                    </a:prstGeom>
                    <a:noFill/>
                    <a:ln w="9525">
                      <a:noFill/>
                      <a:miter lim="800000"/>
                      <a:headEnd/>
                      <a:tailEnd/>
                    </a:ln>
                  </pic:spPr>
                </pic:pic>
              </a:graphicData>
            </a:graphic>
          </wp:inline>
        </w:drawing>
      </w:r>
    </w:p>
    <w:p w14:paraId="7FFC1AF9" w14:textId="77777777" w:rsidR="001B1178" w:rsidRDefault="001B1178" w:rsidP="001B1178">
      <w:pPr>
        <w:jc w:val="center"/>
      </w:pPr>
    </w:p>
    <w:p w14:paraId="7FFC1AFA" w14:textId="77777777" w:rsidR="001B1178" w:rsidRDefault="001B1178" w:rsidP="001B1178">
      <w:pPr>
        <w:jc w:val="center"/>
      </w:pPr>
      <w:r w:rsidRPr="001B1178">
        <w:rPr>
          <w:noProof/>
        </w:rPr>
        <w:lastRenderedPageBreak/>
        <w:drawing>
          <wp:inline distT="0" distB="0" distL="0" distR="0" wp14:anchorId="7FFC1E18" wp14:editId="7FFC1E19">
            <wp:extent cx="6553200" cy="45742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888" r="866" b="1975"/>
                    <a:stretch>
                      <a:fillRect/>
                    </a:stretch>
                  </pic:blipFill>
                  <pic:spPr bwMode="auto">
                    <a:xfrm>
                      <a:off x="0" y="0"/>
                      <a:ext cx="6553200" cy="4574263"/>
                    </a:xfrm>
                    <a:prstGeom prst="rect">
                      <a:avLst/>
                    </a:prstGeom>
                    <a:noFill/>
                    <a:ln w="9525">
                      <a:noFill/>
                      <a:miter lim="800000"/>
                      <a:headEnd/>
                      <a:tailEnd/>
                    </a:ln>
                  </pic:spPr>
                </pic:pic>
              </a:graphicData>
            </a:graphic>
          </wp:inline>
        </w:drawing>
      </w:r>
    </w:p>
    <w:p w14:paraId="7FFC1AFB" w14:textId="77777777" w:rsidR="001B1178" w:rsidRDefault="002828B7" w:rsidP="00595D47">
      <w:r>
        <w:t>Selon notre estimation</w:t>
      </w:r>
      <w:r>
        <w:rPr>
          <w:rStyle w:val="FootnoteReference"/>
        </w:rPr>
        <w:footnoteReference w:id="14"/>
      </w:r>
      <w:r>
        <w:t>, l’entreprise Devoteam (30</w:t>
      </w:r>
      <w:r w:rsidRPr="002828B7">
        <w:rPr>
          <w:vertAlign w:val="superscript"/>
        </w:rPr>
        <w:t>ème</w:t>
      </w:r>
      <w:r>
        <w:t xml:space="preserve"> dans la liste ci-dessus) représente la taille critique dans le secteur. </w:t>
      </w:r>
    </w:p>
    <w:p w14:paraId="7FFC1AFC" w14:textId="77777777" w:rsidR="00595D47" w:rsidRDefault="00595D47" w:rsidP="00704087">
      <w:pPr>
        <w:pStyle w:val="Heading2"/>
      </w:pPr>
      <w:bookmarkStart w:id="19" w:name="_Toc454465556"/>
      <w:r>
        <w:lastRenderedPageBreak/>
        <w:t>Filière</w:t>
      </w:r>
      <w:bookmarkEnd w:id="19"/>
      <w:r>
        <w:t xml:space="preserve"> </w:t>
      </w:r>
    </w:p>
    <w:p w14:paraId="7FFC1AFD" w14:textId="77777777" w:rsidR="00595D47" w:rsidRDefault="00C32B71" w:rsidP="00595D47">
      <w:r>
        <w:t>La chaine de valeur des services informatique</w:t>
      </w:r>
      <w:r w:rsidR="00E77648">
        <w:t xml:space="preserve"> commence par les services de conseil. C’est à dire par notre secteur 6202A. Mais on peut voir que notre secteur vient en aval des services de conseil en management et de conseil en stratégie d’entreprise qui sont des activités de secteurs de la d</w:t>
      </w:r>
      <w:r w:rsidR="00E77648" w:rsidRPr="00E77648">
        <w:t xml:space="preserve">ivision 70 </w:t>
      </w:r>
      <w:r w:rsidR="00E77648">
        <w:t>« </w:t>
      </w:r>
      <w:r w:rsidR="00E77648" w:rsidRPr="00E77648">
        <w:t>Activités des sièges sociaux</w:t>
      </w:r>
      <w:r w:rsidR="00E77648">
        <w:t> » de la NAF.</w:t>
      </w:r>
    </w:p>
    <w:p w14:paraId="7FFC1AFE" w14:textId="77777777" w:rsidR="00492605" w:rsidRDefault="00492605" w:rsidP="00492605">
      <w:pPr>
        <w:pStyle w:val="Heading3"/>
      </w:pPr>
      <w:bookmarkStart w:id="20" w:name="_Toc454465557"/>
      <w:r>
        <w:t>Secteurs amont</w:t>
      </w:r>
      <w:bookmarkEnd w:id="20"/>
      <w:r>
        <w:t xml:space="preserve"> </w:t>
      </w:r>
    </w:p>
    <w:p w14:paraId="7FFC1AFF" w14:textId="77777777" w:rsidR="00492605" w:rsidRDefault="00492605" w:rsidP="00492605">
      <w:r>
        <w:t xml:space="preserve">Les secteurs amont au secteur de conseil en informatique sont : </w:t>
      </w:r>
    </w:p>
    <w:p w14:paraId="7FFC1B00" w14:textId="77777777" w:rsidR="00492605" w:rsidRDefault="00492605" w:rsidP="00492605">
      <w:pPr>
        <w:pStyle w:val="ListParagraph"/>
        <w:numPr>
          <w:ilvl w:val="0"/>
          <w:numId w:val="22"/>
        </w:numPr>
      </w:pPr>
      <w:r>
        <w:t xml:space="preserve">Secteur de conseil en management et stratégie (business consulting) </w:t>
      </w:r>
    </w:p>
    <w:p w14:paraId="7FFC1B01" w14:textId="77777777" w:rsidR="00492605" w:rsidRDefault="00492605" w:rsidP="00492605">
      <w:pPr>
        <w:pStyle w:val="ListParagraph"/>
        <w:numPr>
          <w:ilvl w:val="0"/>
          <w:numId w:val="22"/>
        </w:numPr>
      </w:pPr>
      <w:r>
        <w:t xml:space="preserve">Secteur des éditions de logiciels </w:t>
      </w:r>
    </w:p>
    <w:p w14:paraId="7FFC1B02" w14:textId="77777777" w:rsidR="00492605" w:rsidRDefault="00492605" w:rsidP="00492605">
      <w:pPr>
        <w:pStyle w:val="ListParagraph"/>
        <w:numPr>
          <w:ilvl w:val="0"/>
          <w:numId w:val="22"/>
        </w:numPr>
      </w:pPr>
      <w:r>
        <w:t xml:space="preserve">Secteur de l’industrie </w:t>
      </w:r>
    </w:p>
    <w:p w14:paraId="7FFC1B03" w14:textId="77777777" w:rsidR="00492605" w:rsidRDefault="00492605" w:rsidP="00492605">
      <w:pPr>
        <w:pStyle w:val="ListParagraph"/>
        <w:numPr>
          <w:ilvl w:val="0"/>
          <w:numId w:val="22"/>
        </w:numPr>
      </w:pPr>
      <w:r>
        <w:t xml:space="preserve">Secteur de télécommunication </w:t>
      </w:r>
    </w:p>
    <w:p w14:paraId="7FFC1B04" w14:textId="77777777" w:rsidR="00492605" w:rsidRDefault="00492605" w:rsidP="00492605">
      <w:pPr>
        <w:pStyle w:val="Heading3"/>
      </w:pPr>
      <w:bookmarkStart w:id="21" w:name="_Toc454465558"/>
      <w:r>
        <w:t>Secteurs aval</w:t>
      </w:r>
      <w:bookmarkEnd w:id="21"/>
      <w:r>
        <w:t xml:space="preserve"> </w:t>
      </w:r>
    </w:p>
    <w:p w14:paraId="7FFC1B05" w14:textId="77777777" w:rsidR="00492605" w:rsidRDefault="00492605" w:rsidP="00492605">
      <w:r>
        <w:t xml:space="preserve">Ce sont les secteurs permettant la mise en place des systèmes d’information : </w:t>
      </w:r>
    </w:p>
    <w:p w14:paraId="7FFC1B06" w14:textId="77777777" w:rsidR="00492605" w:rsidRDefault="00492605" w:rsidP="00492605">
      <w:pPr>
        <w:pStyle w:val="ListParagraph"/>
        <w:numPr>
          <w:ilvl w:val="0"/>
          <w:numId w:val="21"/>
        </w:numPr>
      </w:pPr>
      <w:r>
        <w:t xml:space="preserve">Programmation informatique </w:t>
      </w:r>
    </w:p>
    <w:p w14:paraId="7FFC1B07" w14:textId="77777777" w:rsidR="00492605" w:rsidRDefault="00492605" w:rsidP="00492605">
      <w:pPr>
        <w:pStyle w:val="ListParagraph"/>
        <w:numPr>
          <w:ilvl w:val="0"/>
          <w:numId w:val="21"/>
        </w:numPr>
      </w:pPr>
      <w:r>
        <w:t xml:space="preserve">Maintenance informatique </w:t>
      </w:r>
    </w:p>
    <w:p w14:paraId="7FFC1B08" w14:textId="77777777" w:rsidR="00492605" w:rsidRDefault="00492605" w:rsidP="00492605">
      <w:pPr>
        <w:pStyle w:val="ListParagraph"/>
        <w:numPr>
          <w:ilvl w:val="0"/>
          <w:numId w:val="21"/>
        </w:numPr>
      </w:pPr>
      <w:r>
        <w:t xml:space="preserve">Les agences de presse permettant </w:t>
      </w:r>
    </w:p>
    <w:p w14:paraId="7FFC1B09" w14:textId="77777777" w:rsidR="00120E3B" w:rsidRDefault="00120E3B" w:rsidP="00120E3B"/>
    <w:p w14:paraId="7FFC1B0A" w14:textId="77777777" w:rsidR="00FC4333" w:rsidRDefault="00FC4333" w:rsidP="00FC4333">
      <w:pPr>
        <w:pStyle w:val="Heading1"/>
      </w:pPr>
      <w:bookmarkStart w:id="22" w:name="_Toc454465559"/>
      <w:r>
        <w:lastRenderedPageBreak/>
        <w:t xml:space="preserve">Production </w:t>
      </w:r>
      <w:r w:rsidR="00595D47">
        <w:t>de service</w:t>
      </w:r>
      <w:bookmarkEnd w:id="22"/>
      <w:r w:rsidR="00595D47">
        <w:t xml:space="preserve"> </w:t>
      </w:r>
      <w:r>
        <w:t xml:space="preserve"> </w:t>
      </w:r>
    </w:p>
    <w:p w14:paraId="7FFC1B0B" w14:textId="77777777" w:rsidR="00794D4E" w:rsidRDefault="00595D47" w:rsidP="00794D4E">
      <w:r>
        <w:t xml:space="preserve">Les productions de ce secteur sont les services de conseil fournis par les ESN aux entreprises des autres secteurs d’activité. </w:t>
      </w:r>
      <w:r w:rsidR="00794D4E" w:rsidRPr="00C22AEB">
        <w:t xml:space="preserve">Le service de conseil en informatique est </w:t>
      </w:r>
      <w:r w:rsidR="00794D4E">
        <w:t xml:space="preserve">donc </w:t>
      </w:r>
      <w:r w:rsidR="00794D4E" w:rsidRPr="00C22AEB">
        <w:t>un service de type B2B et s’adresse à toutes les entreprises ayant besoin d’une assistance dans le domaine de l’informatique. Il s’agit d’une activité complémentaire aux autres services proposés dans le domaine de l’informatique. En règle générale cette prestation est réalisée par une entreprise tierce, appelé ESN, ou par une équipe interne dédiée.</w:t>
      </w:r>
    </w:p>
    <w:p w14:paraId="7FFC1B0C" w14:textId="77777777" w:rsidR="00794D4E" w:rsidRDefault="00794D4E" w:rsidP="00794D4E">
      <w:r w:rsidRPr="00C22AEB">
        <w:t xml:space="preserve">L’activité du conseil est réalisée en prenant en comptes les spécificités, les exigences et les problématiques de chaque secteur mais aussi </w:t>
      </w:r>
      <w:r>
        <w:t xml:space="preserve">de </w:t>
      </w:r>
      <w:r w:rsidRPr="00C22AEB">
        <w:t xml:space="preserve">chaque entreprise en raison de l’hétérogénéité des systèmes informatiques. </w:t>
      </w:r>
    </w:p>
    <w:p w14:paraId="7FFC1B0D" w14:textId="77777777" w:rsidR="00794D4E" w:rsidRDefault="00794D4E" w:rsidP="00794D4E">
      <w:r w:rsidRPr="00C22AEB">
        <w:t>Les clients de ce secteur, généralement les DSI des grandes entreprises, ont besoin de recourir aux services informatique pour développer, maintenir et/ou exploiter leurs systèmes d’information. Ce type de demande débouche sur des projets informatiques de création de logiciel et comporte une part importante de conseil et d’accompagnement. Il en est de même pour l’intégration d’une solution progicielle « clé en main » existante.</w:t>
      </w:r>
    </w:p>
    <w:p w14:paraId="7FFC1B0E" w14:textId="77777777" w:rsidR="00794D4E" w:rsidRDefault="00794D4E" w:rsidP="00794D4E">
      <w:r w:rsidRPr="00C22AEB">
        <w:t>La transformation digitale de l’économie constitue une nouvelle demande à laquelle les entreprises ne peuvent y répondre sans prévoir une phase de « conseil informatique ».</w:t>
      </w:r>
    </w:p>
    <w:p w14:paraId="7FFC1B0F" w14:textId="77777777" w:rsidR="00794D4E" w:rsidRDefault="00794D4E" w:rsidP="00794D4E">
      <w:r w:rsidRPr="00C22AEB">
        <w:t>En effet, les nouvelles technologies d’information et de la communication donnent souvent de nouvelles opportunités business. La croissance des ESN dépend aussi en grande partie de la capacité à proposer des solutions innovantes</w:t>
      </w:r>
      <w:r>
        <w:t xml:space="preserve">. </w:t>
      </w:r>
    </w:p>
    <w:p w14:paraId="7FFC1B10" w14:textId="77777777" w:rsidR="00794D4E" w:rsidRDefault="00794D4E" w:rsidP="00794D4E">
      <w:r w:rsidRPr="00C22AEB">
        <w:t xml:space="preserve">D’après l’enquête annuelle de Gartner réalisé en janvier 2014 auprès de 23 000 DSI dans le monde, le classement des priorités technologiques est: </w:t>
      </w:r>
    </w:p>
    <w:p w14:paraId="7FFC1B11" w14:textId="77777777" w:rsidR="00794D4E" w:rsidRDefault="00794D4E" w:rsidP="00794D4E">
      <w:pPr>
        <w:pStyle w:val="ListParagraph"/>
        <w:numPr>
          <w:ilvl w:val="0"/>
          <w:numId w:val="26"/>
        </w:numPr>
      </w:pPr>
      <w:r w:rsidRPr="00C22AEB">
        <w:t xml:space="preserve">Business Intelligence, </w:t>
      </w:r>
    </w:p>
    <w:p w14:paraId="7FFC1B12" w14:textId="77777777" w:rsidR="00794D4E" w:rsidRDefault="00794D4E" w:rsidP="00794D4E">
      <w:pPr>
        <w:pStyle w:val="ListParagraph"/>
        <w:numPr>
          <w:ilvl w:val="0"/>
          <w:numId w:val="26"/>
        </w:numPr>
      </w:pPr>
      <w:r w:rsidRPr="00C22AEB">
        <w:t xml:space="preserve">Infrastructure et Datacenter, </w:t>
      </w:r>
    </w:p>
    <w:p w14:paraId="7FFC1B13" w14:textId="77777777" w:rsidR="00794D4E" w:rsidRDefault="00794D4E" w:rsidP="00794D4E">
      <w:pPr>
        <w:pStyle w:val="ListParagraph"/>
        <w:numPr>
          <w:ilvl w:val="0"/>
          <w:numId w:val="26"/>
        </w:numPr>
      </w:pPr>
      <w:r w:rsidRPr="00C22AEB">
        <w:t xml:space="preserve">Cloud computing, </w:t>
      </w:r>
    </w:p>
    <w:p w14:paraId="7FFC1B14" w14:textId="77777777" w:rsidR="00794D4E" w:rsidRDefault="00794D4E" w:rsidP="00794D4E">
      <w:pPr>
        <w:pStyle w:val="ListParagraph"/>
        <w:numPr>
          <w:ilvl w:val="0"/>
          <w:numId w:val="26"/>
        </w:numPr>
      </w:pPr>
      <w:r w:rsidRPr="00C22AEB">
        <w:t xml:space="preserve">ERP, </w:t>
      </w:r>
    </w:p>
    <w:p w14:paraId="7FFC1B15" w14:textId="77777777" w:rsidR="00794D4E" w:rsidRDefault="00794D4E" w:rsidP="00794D4E">
      <w:pPr>
        <w:pStyle w:val="ListParagraph"/>
        <w:numPr>
          <w:ilvl w:val="0"/>
          <w:numId w:val="26"/>
        </w:numPr>
      </w:pPr>
      <w:r w:rsidRPr="00C22AEB">
        <w:t xml:space="preserve">Mobilité, </w:t>
      </w:r>
    </w:p>
    <w:p w14:paraId="7FFC1B16" w14:textId="77777777" w:rsidR="00794D4E" w:rsidRDefault="00794D4E" w:rsidP="00794D4E">
      <w:pPr>
        <w:pStyle w:val="ListParagraph"/>
        <w:numPr>
          <w:ilvl w:val="0"/>
          <w:numId w:val="26"/>
        </w:numPr>
      </w:pPr>
      <w:r w:rsidRPr="00C22AEB">
        <w:t>Digitalisation</w:t>
      </w:r>
      <w:r>
        <w:t xml:space="preserve">, </w:t>
      </w:r>
      <w:r w:rsidRPr="00C22AEB">
        <w:t xml:space="preserve"> </w:t>
      </w:r>
    </w:p>
    <w:p w14:paraId="7FFC1B17" w14:textId="77777777" w:rsidR="00794D4E" w:rsidRDefault="00794D4E" w:rsidP="00794D4E">
      <w:pPr>
        <w:pStyle w:val="ListParagraph"/>
        <w:numPr>
          <w:ilvl w:val="0"/>
          <w:numId w:val="26"/>
        </w:numPr>
      </w:pPr>
      <w:r w:rsidRPr="00C22AEB">
        <w:t>Mark</w:t>
      </w:r>
      <w:r>
        <w:t xml:space="preserve">eting digital, </w:t>
      </w:r>
    </w:p>
    <w:p w14:paraId="7FFC1B18" w14:textId="77777777" w:rsidR="00794D4E" w:rsidRPr="00C22AEB" w:rsidRDefault="00794D4E" w:rsidP="00794D4E">
      <w:pPr>
        <w:pStyle w:val="ListParagraph"/>
        <w:numPr>
          <w:ilvl w:val="0"/>
          <w:numId w:val="26"/>
        </w:numPr>
      </w:pPr>
      <w:r w:rsidRPr="00C22AEB">
        <w:t xml:space="preserve">Sécurité. </w:t>
      </w:r>
    </w:p>
    <w:p w14:paraId="7FFC1B19" w14:textId="77777777" w:rsidR="00595D47" w:rsidRDefault="00595D47" w:rsidP="009C261D"/>
    <w:p w14:paraId="7FFC1B1A" w14:textId="77777777" w:rsidR="00595D47" w:rsidRDefault="00595D47" w:rsidP="009C261D"/>
    <w:p w14:paraId="7FFC1B1B" w14:textId="77777777" w:rsidR="00FC4333" w:rsidRDefault="00FC4333" w:rsidP="00FC4333">
      <w:pPr>
        <w:pStyle w:val="Heading1"/>
      </w:pPr>
      <w:bookmarkStart w:id="23" w:name="_Toc454465560"/>
      <w:r>
        <w:lastRenderedPageBreak/>
        <w:t>Actualité de la profession</w:t>
      </w:r>
      <w:bookmarkEnd w:id="23"/>
      <w:r>
        <w:t xml:space="preserve">   </w:t>
      </w:r>
    </w:p>
    <w:p w14:paraId="7FFC1B1C" w14:textId="77777777" w:rsidR="00FC4333" w:rsidRDefault="00595D47" w:rsidP="00595D47">
      <w:pPr>
        <w:pStyle w:val="Heading2"/>
      </w:pPr>
      <w:bookmarkStart w:id="24" w:name="_Toc454465561"/>
      <w:r>
        <w:t>Les fusions acquisitions</w:t>
      </w:r>
      <w:bookmarkEnd w:id="24"/>
      <w:r>
        <w:t xml:space="preserve"> </w:t>
      </w:r>
    </w:p>
    <w:p w14:paraId="7FFC1B1D" w14:textId="77777777" w:rsidR="000D3DE1" w:rsidRDefault="000D3DE1" w:rsidP="000D3DE1">
      <w:pPr>
        <w:ind w:left="0"/>
      </w:pPr>
      <w:r>
        <w:t>Le baromètre IT annuel d’APM</w:t>
      </w:r>
      <w:r>
        <w:rPr>
          <w:rStyle w:val="FootnoteReference"/>
        </w:rPr>
        <w:footnoteReference w:id="15"/>
      </w:r>
      <w:r>
        <w:t xml:space="preserve"> résume les opérations de consolidation des secteurs des TI. Cette tendance concerne toutes les tailles d’entreprises. Les opérations remarquables en 2014 sont la fusion entre Stéria et Sopra, l’acquisition de Bull par Atos, l’acquisition d’Euriware par Capgemini.</w:t>
      </w:r>
    </w:p>
    <w:p w14:paraId="7FFC1B1E" w14:textId="77777777" w:rsidR="00595D47" w:rsidRDefault="000D3DE1" w:rsidP="000D3DE1">
      <w:pPr>
        <w:ind w:left="0"/>
      </w:pPr>
      <w:r w:rsidRPr="00EF74AE">
        <w:t>Le</w:t>
      </w:r>
      <w:r w:rsidR="000E1054" w:rsidRPr="000E1054">
        <w:t xml:space="preserve"> </w:t>
      </w:r>
      <w:r w:rsidR="00567BB5">
        <w:fldChar w:fldCharType="begin"/>
      </w:r>
      <w:r w:rsidR="000E1054">
        <w:instrText xml:space="preserve"> REF _Ref451798482 \h </w:instrText>
      </w:r>
      <w:r w:rsidR="00567BB5">
        <w:fldChar w:fldCharType="separate"/>
      </w:r>
      <w:r w:rsidR="00CB4331">
        <w:t xml:space="preserve">Graphique  </w:t>
      </w:r>
      <w:r w:rsidR="00CB4331">
        <w:rPr>
          <w:noProof/>
        </w:rPr>
        <w:t>4</w:t>
      </w:r>
      <w:r w:rsidR="00567BB5">
        <w:fldChar w:fldCharType="end"/>
      </w:r>
      <w:r w:rsidR="000E1054" w:rsidRPr="000E1054">
        <w:t xml:space="preserve"> </w:t>
      </w:r>
      <w:r>
        <w:t>montre l’évolution de ces opérations en volume et en valeur. En moyenne, sur la période entre 2006 et 2014, le nombre des opérations est stable mais on constate que la valeur de ces opérations a fortement augmenté en 2014. Les</w:t>
      </w:r>
      <w:r w:rsidR="000E1054">
        <w:t xml:space="preserve"> </w:t>
      </w:r>
      <w:r w:rsidR="00567BB5">
        <w:fldChar w:fldCharType="begin"/>
      </w:r>
      <w:r w:rsidR="000E1054">
        <w:instrText xml:space="preserve"> REF _Ref451798513 \h </w:instrText>
      </w:r>
      <w:r w:rsidR="00567BB5">
        <w:fldChar w:fldCharType="separate"/>
      </w:r>
      <w:r w:rsidR="00CB4331">
        <w:t xml:space="preserve">Graphique  </w:t>
      </w:r>
      <w:r w:rsidR="00CB4331">
        <w:rPr>
          <w:noProof/>
        </w:rPr>
        <w:t>2</w:t>
      </w:r>
      <w:r w:rsidR="00567BB5">
        <w:fldChar w:fldCharType="end"/>
      </w:r>
      <w:r>
        <w:t xml:space="preserve"> et</w:t>
      </w:r>
      <w:r w:rsidR="000E1054">
        <w:t xml:space="preserve"> </w:t>
      </w:r>
      <w:r w:rsidR="00567BB5">
        <w:fldChar w:fldCharType="begin"/>
      </w:r>
      <w:r w:rsidR="000E1054">
        <w:instrText xml:space="preserve"> REF _Ref451798525 \h </w:instrText>
      </w:r>
      <w:r w:rsidR="00567BB5">
        <w:fldChar w:fldCharType="separate"/>
      </w:r>
      <w:r w:rsidR="00CB4331">
        <w:t xml:space="preserve">Graphique  </w:t>
      </w:r>
      <w:r w:rsidR="00CB4331">
        <w:rPr>
          <w:noProof/>
        </w:rPr>
        <w:t>3</w:t>
      </w:r>
      <w:r w:rsidR="00567BB5">
        <w:fldChar w:fldCharType="end"/>
      </w:r>
      <w:r>
        <w:t xml:space="preserve"> montrent plus de détails sur les catégories de ces opérations de fusions et acquisition.</w:t>
      </w:r>
      <w:r w:rsidR="000E1054">
        <w:t xml:space="preserve"> </w:t>
      </w:r>
    </w:p>
    <w:p w14:paraId="7FFC1B1F" w14:textId="77777777" w:rsidR="000E6B1E" w:rsidRDefault="000E6B1E" w:rsidP="009C261D"/>
    <w:p w14:paraId="7FFC1B20" w14:textId="77777777" w:rsidR="00595D47" w:rsidRDefault="00183FC9" w:rsidP="00A11059">
      <w:pPr>
        <w:pStyle w:val="Heading2"/>
      </w:pPr>
      <w:bookmarkStart w:id="25" w:name="_Toc454465562"/>
      <w:r>
        <w:t>Synthèse de l’</w:t>
      </w:r>
      <w:r w:rsidR="00443015">
        <w:t>a</w:t>
      </w:r>
      <w:r w:rsidR="00595D47">
        <w:t xml:space="preserve">ctualités </w:t>
      </w:r>
      <w:r>
        <w:t>de la presse</w:t>
      </w:r>
      <w:bookmarkEnd w:id="25"/>
      <w:r>
        <w:t xml:space="preserve"> </w:t>
      </w:r>
    </w:p>
    <w:p w14:paraId="7FFC1B21" w14:textId="77777777" w:rsidR="00A11059" w:rsidRDefault="00A11059" w:rsidP="009C261D">
      <w:pPr>
        <w:rPr>
          <w:color w:val="000000" w:themeColor="text1"/>
          <w:szCs w:val="22"/>
          <w:lang w:eastAsia="ja-JP"/>
        </w:rPr>
      </w:pPr>
      <w:r>
        <w:rPr>
          <w:color w:val="000000" w:themeColor="text1"/>
          <w:szCs w:val="22"/>
          <w:lang w:eastAsia="ja-JP"/>
        </w:rPr>
        <w:t>Tous les journaux même les non spécialistes du secteur parlent de digital et de disruption dans leur rubriques technologies. C’est normal à cette période de 3</w:t>
      </w:r>
      <w:r w:rsidRPr="00A11059">
        <w:rPr>
          <w:color w:val="000000" w:themeColor="text1"/>
          <w:szCs w:val="22"/>
          <w:vertAlign w:val="superscript"/>
          <w:lang w:eastAsia="ja-JP"/>
        </w:rPr>
        <w:t>ème</w:t>
      </w:r>
      <w:r>
        <w:rPr>
          <w:color w:val="000000" w:themeColor="text1"/>
          <w:szCs w:val="22"/>
          <w:lang w:eastAsia="ja-JP"/>
        </w:rPr>
        <w:t xml:space="preserve"> révolution industrielle de l’</w:t>
      </w:r>
      <w:r w:rsidR="00FE3CA7">
        <w:rPr>
          <w:color w:val="000000" w:themeColor="text1"/>
          <w:szCs w:val="22"/>
          <w:lang w:eastAsia="ja-JP"/>
        </w:rPr>
        <w:t xml:space="preserve">informatique et de l’économie numérique. </w:t>
      </w:r>
    </w:p>
    <w:p w14:paraId="7FFC1B22" w14:textId="77777777" w:rsidR="00AF3B08" w:rsidRDefault="00800766" w:rsidP="009C261D">
      <w:pPr>
        <w:rPr>
          <w:color w:val="000000" w:themeColor="text1"/>
          <w:szCs w:val="22"/>
          <w:lang w:eastAsia="ja-JP"/>
        </w:rPr>
      </w:pPr>
      <w:r>
        <w:rPr>
          <w:color w:val="000000" w:themeColor="text1"/>
          <w:szCs w:val="22"/>
          <w:lang w:eastAsia="ja-JP"/>
        </w:rPr>
        <w:t>Parmi</w:t>
      </w:r>
      <w:r w:rsidR="00AF3B08">
        <w:rPr>
          <w:color w:val="000000" w:themeColor="text1"/>
          <w:szCs w:val="22"/>
          <w:lang w:eastAsia="ja-JP"/>
        </w:rPr>
        <w:t xml:space="preserve"> les sujet</w:t>
      </w:r>
      <w:r>
        <w:rPr>
          <w:color w:val="000000" w:themeColor="text1"/>
          <w:szCs w:val="22"/>
          <w:lang w:eastAsia="ja-JP"/>
        </w:rPr>
        <w:t xml:space="preserve">s les plus cités en ce moment on trouve : </w:t>
      </w:r>
    </w:p>
    <w:p w14:paraId="7FFC1B23" w14:textId="77777777" w:rsidR="00800766" w:rsidRPr="00800766" w:rsidRDefault="00800766" w:rsidP="00800766">
      <w:pPr>
        <w:pStyle w:val="ListParagraph"/>
        <w:numPr>
          <w:ilvl w:val="0"/>
          <w:numId w:val="26"/>
        </w:numPr>
        <w:rPr>
          <w:color w:val="000000" w:themeColor="text1"/>
          <w:szCs w:val="22"/>
          <w:lang w:eastAsia="ja-JP"/>
        </w:rPr>
      </w:pPr>
      <w:r w:rsidRPr="00800766">
        <w:rPr>
          <w:color w:val="000000" w:themeColor="text1"/>
          <w:szCs w:val="22"/>
          <w:lang w:eastAsia="ja-JP"/>
        </w:rPr>
        <w:t xml:space="preserve">Les FINTECH : Il s’agit d’utiliser les </w:t>
      </w:r>
      <w:r w:rsidRPr="0033018D">
        <w:t>technologies de l'information et de la communication pour livrer des services financiers de façon plus efficace et moins couteuse</w:t>
      </w:r>
      <w:r>
        <w:t>.</w:t>
      </w:r>
      <w:r w:rsidRPr="00800766">
        <w:t xml:space="preserve"> </w:t>
      </w:r>
    </w:p>
    <w:p w14:paraId="7FFC1B24" w14:textId="77777777" w:rsidR="00800766" w:rsidRPr="00800766" w:rsidRDefault="00800766" w:rsidP="00800766">
      <w:pPr>
        <w:pStyle w:val="ListParagraph"/>
        <w:numPr>
          <w:ilvl w:val="0"/>
          <w:numId w:val="26"/>
        </w:numPr>
        <w:rPr>
          <w:color w:val="000000" w:themeColor="text1"/>
          <w:szCs w:val="22"/>
          <w:lang w:eastAsia="ja-JP"/>
        </w:rPr>
      </w:pPr>
      <w:r>
        <w:t xml:space="preserve">Big Data : Il s’agit de technologies permettant d’analyser les données clients en temps réel et de permettre de proposer des offres adaptées à la situation. Gartner décrit ce phénomène par « Business Moment ». </w:t>
      </w:r>
    </w:p>
    <w:p w14:paraId="7FFC1B25" w14:textId="77777777" w:rsidR="00800766" w:rsidRPr="00800766" w:rsidRDefault="00800766" w:rsidP="00800766">
      <w:pPr>
        <w:rPr>
          <w:lang w:eastAsia="ja-JP"/>
        </w:rPr>
      </w:pPr>
    </w:p>
    <w:p w14:paraId="7FFC1B26" w14:textId="77777777" w:rsidR="00800766" w:rsidRDefault="00800766" w:rsidP="009C261D">
      <w:pPr>
        <w:rPr>
          <w:color w:val="000000" w:themeColor="text1"/>
          <w:szCs w:val="22"/>
          <w:lang w:eastAsia="ja-JP"/>
        </w:rPr>
      </w:pPr>
    </w:p>
    <w:p w14:paraId="7FFC1B27" w14:textId="77777777" w:rsidR="00AF3B08" w:rsidRDefault="00AF3B08" w:rsidP="009C261D">
      <w:pPr>
        <w:rPr>
          <w:color w:val="000000" w:themeColor="text1"/>
          <w:szCs w:val="22"/>
          <w:lang w:eastAsia="ja-JP"/>
        </w:rPr>
      </w:pPr>
    </w:p>
    <w:p w14:paraId="7FFC1B28" w14:textId="77777777" w:rsidR="00443015" w:rsidRDefault="00443015" w:rsidP="009C261D"/>
    <w:p w14:paraId="7FFC1B29" w14:textId="77777777" w:rsidR="000D3DE1" w:rsidRDefault="000D3DE1">
      <w:pPr>
        <w:spacing w:before="0" w:after="0"/>
        <w:ind w:left="0"/>
        <w:jc w:val="left"/>
      </w:pPr>
      <w:r>
        <w:br w:type="page"/>
      </w:r>
    </w:p>
    <w:p w14:paraId="7FFC1B2A" w14:textId="6C9DD871" w:rsidR="000D3DE1" w:rsidRDefault="00E51A1C">
      <w:pPr>
        <w:spacing w:before="0" w:after="0"/>
        <w:ind w:left="0"/>
        <w:jc w:val="left"/>
      </w:pPr>
      <w:r>
        <w:rPr>
          <w:noProof/>
        </w:rPr>
        <w:lastRenderedPageBreak/>
        <mc:AlternateContent>
          <mc:Choice Requires="wps">
            <w:drawing>
              <wp:anchor distT="0" distB="0" distL="114300" distR="114300" simplePos="0" relativeHeight="251660800" behindDoc="0" locked="0" layoutInCell="1" allowOverlap="1" wp14:anchorId="7FFC1E1B" wp14:editId="75983E60">
                <wp:simplePos x="0" y="0"/>
                <wp:positionH relativeFrom="column">
                  <wp:posOffset>-49530</wp:posOffset>
                </wp:positionH>
                <wp:positionV relativeFrom="paragraph">
                  <wp:posOffset>5781040</wp:posOffset>
                </wp:positionV>
                <wp:extent cx="8956040" cy="298450"/>
                <wp:effectExtent l="3810" t="635" r="3175" b="0"/>
                <wp:wrapTight wrapText="bothSides">
                  <wp:wrapPolygon edited="0">
                    <wp:start x="-21" y="0"/>
                    <wp:lineTo x="-21" y="20727"/>
                    <wp:lineTo x="21600" y="20727"/>
                    <wp:lineTo x="21600" y="0"/>
                    <wp:lineTo x="-21" y="0"/>
                  </wp:wrapPolygon>
                </wp:wrapTight>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60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4" w14:textId="77777777" w:rsidR="00CB4331" w:rsidRPr="00C4503D" w:rsidRDefault="00CB4331" w:rsidP="000D3DE1">
                            <w:pPr>
                              <w:pStyle w:val="Caption"/>
                              <w:rPr>
                                <w:noProof/>
                              </w:rPr>
                            </w:pPr>
                            <w:r>
                              <w:t xml:space="preserve">Graphique  </w:t>
                            </w:r>
                            <w:fldSimple w:instr=" SEQ Graphique_ \* ARABIC ">
                              <w:r>
                                <w:rPr>
                                  <w:noProof/>
                                </w:rPr>
                                <w:t>1</w:t>
                              </w:r>
                            </w:fldSimple>
                            <w:r>
                              <w:t xml:space="preserve"> : Opérations de fusions-acquisition en volume et valeur dans les secteurs des services informatiques en France entre 2006 et 2014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FC1E1B" id="_x0000_t202" coordsize="21600,21600" o:spt="202" path="m,l,21600r21600,l21600,xe">
                <v:stroke joinstyle="miter"/>
                <v:path gradientshapeok="t" o:connecttype="rect"/>
              </v:shapetype>
              <v:shape id="Text Box 8" o:spid="_x0000_s1026" type="#_x0000_t202" style="position:absolute;margin-left:-3.9pt;margin-top:455.2pt;width:705.2pt;height: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a9eAIAAAA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" stroked="f">
                <v:textbox style="mso-fit-shape-to-text:t" inset="0,0,0,0">
                  <w:txbxContent>
                    <w:p w14:paraId="7FFC1E84" w14:textId="77777777" w:rsidR="00CB4331" w:rsidRPr="00C4503D" w:rsidRDefault="00CB4331" w:rsidP="000D3DE1">
                      <w:pPr>
                        <w:pStyle w:val="Caption"/>
                        <w:rPr>
                          <w:noProof/>
                        </w:rPr>
                      </w:pPr>
                      <w:r>
                        <w:t xml:space="preserve">Graphique  </w:t>
                      </w:r>
                      <w:fldSimple w:instr=" SEQ Graphique_ \* ARABIC ">
                        <w:r>
                          <w:rPr>
                            <w:noProof/>
                          </w:rPr>
                          <w:t>1</w:t>
                        </w:r>
                      </w:fldSimple>
                      <w:r>
                        <w:t xml:space="preserve"> : Opérations de fusions-acquisition en volume et valeur dans les secteurs des services informatiques en France entre 2006 et 2014</w:t>
                      </w:r>
                    </w:p>
                  </w:txbxContent>
                </v:textbox>
                <w10:wrap type="tight"/>
              </v:shape>
            </w:pict>
          </mc:Fallback>
        </mc:AlternateContent>
      </w:r>
      <w:r w:rsidR="000D3DE1">
        <w:rPr>
          <w:noProof/>
        </w:rPr>
        <w:drawing>
          <wp:anchor distT="0" distB="0" distL="114300" distR="114300" simplePos="0" relativeHeight="251620352" behindDoc="1" locked="0" layoutInCell="1" allowOverlap="1" wp14:anchorId="7FFC1E1C" wp14:editId="7FFC1E1D">
            <wp:simplePos x="0" y="0"/>
            <wp:positionH relativeFrom="column">
              <wp:posOffset>-49530</wp:posOffset>
            </wp:positionH>
            <wp:positionV relativeFrom="paragraph">
              <wp:posOffset>-321310</wp:posOffset>
            </wp:positionV>
            <wp:extent cx="9256395" cy="6045200"/>
            <wp:effectExtent l="19050" t="0" r="1905" b="0"/>
            <wp:wrapTight wrapText="bothSides">
              <wp:wrapPolygon edited="0">
                <wp:start x="-44" y="0"/>
                <wp:lineTo x="-44" y="21509"/>
                <wp:lineTo x="21604" y="21509"/>
                <wp:lineTo x="21604" y="0"/>
                <wp:lineTo x="-44"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9256395" cy="6045200"/>
                    </a:xfrm>
                    <a:prstGeom prst="rect">
                      <a:avLst/>
                    </a:prstGeom>
                    <a:noFill/>
                    <a:ln w="9525">
                      <a:noFill/>
                      <a:miter lim="800000"/>
                      <a:headEnd/>
                      <a:tailEnd/>
                    </a:ln>
                  </pic:spPr>
                </pic:pic>
              </a:graphicData>
            </a:graphic>
          </wp:anchor>
        </w:drawing>
      </w:r>
      <w:r w:rsidR="000D3DE1">
        <w:br w:type="page"/>
      </w:r>
    </w:p>
    <w:p w14:paraId="7FFC1B2B" w14:textId="1F4E30F0" w:rsidR="000D3DE1" w:rsidRDefault="00E51A1C">
      <w:pPr>
        <w:spacing w:before="0" w:after="0"/>
        <w:ind w:left="0"/>
        <w:jc w:val="left"/>
      </w:pPr>
      <w:r>
        <w:rPr>
          <w:noProof/>
        </w:rPr>
        <w:lastRenderedPageBreak/>
        <mc:AlternateContent>
          <mc:Choice Requires="wps">
            <w:drawing>
              <wp:anchor distT="0" distB="0" distL="114300" distR="114300" simplePos="0" relativeHeight="251661824" behindDoc="0" locked="0" layoutInCell="1" allowOverlap="1" wp14:anchorId="7FFC1E1E" wp14:editId="40412C53">
                <wp:simplePos x="0" y="0"/>
                <wp:positionH relativeFrom="column">
                  <wp:posOffset>-45085</wp:posOffset>
                </wp:positionH>
                <wp:positionV relativeFrom="paragraph">
                  <wp:posOffset>5806440</wp:posOffset>
                </wp:positionV>
                <wp:extent cx="8892540" cy="298450"/>
                <wp:effectExtent l="0" t="0" r="0" b="0"/>
                <wp:wrapTight wrapText="bothSides">
                  <wp:wrapPolygon edited="0">
                    <wp:start x="-22" y="0"/>
                    <wp:lineTo x="-22" y="20727"/>
                    <wp:lineTo x="21600" y="20727"/>
                    <wp:lineTo x="21600" y="0"/>
                    <wp:lineTo x="-22" y="0"/>
                  </wp:wrapPolygon>
                </wp:wrapTight>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5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5" w14:textId="77777777" w:rsidR="00CB4331" w:rsidRPr="000436EB" w:rsidRDefault="00CB4331" w:rsidP="000D3DE1">
                            <w:pPr>
                              <w:pStyle w:val="Caption"/>
                              <w:rPr>
                                <w:noProof/>
                              </w:rPr>
                            </w:pPr>
                            <w:bookmarkStart w:id="26" w:name="_Ref451798513"/>
                            <w:r>
                              <w:t xml:space="preserve">Graphique  </w:t>
                            </w:r>
                            <w:fldSimple w:instr=" SEQ Graphique_ \* ARABIC ">
                              <w:r>
                                <w:rPr>
                                  <w:noProof/>
                                </w:rPr>
                                <w:t>2</w:t>
                              </w:r>
                            </w:fldSimple>
                            <w:bookmarkEnd w:id="26"/>
                            <w:r>
                              <w:t xml:space="preserve"> : Les fusions-acquisitions en France dans les secteurs des services informatiques par classe de CA en volume et valeur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1E" id="Text Box 9" o:spid="_x0000_s1027" type="#_x0000_t202" style="position:absolute;margin-left:-3.55pt;margin-top:457.2pt;width:700.2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ypewIAAAc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" stroked="f">
                <v:textbox style="mso-fit-shape-to-text:t" inset="0,0,0,0">
                  <w:txbxContent>
                    <w:p w14:paraId="7FFC1E85" w14:textId="77777777" w:rsidR="00CB4331" w:rsidRPr="000436EB" w:rsidRDefault="00CB4331" w:rsidP="000D3DE1">
                      <w:pPr>
                        <w:pStyle w:val="Caption"/>
                        <w:rPr>
                          <w:noProof/>
                        </w:rPr>
                      </w:pPr>
                      <w:bookmarkStart w:id="27" w:name="_Ref451798513"/>
                      <w:r>
                        <w:t xml:space="preserve">Graphique  </w:t>
                      </w:r>
                      <w:fldSimple w:instr=" SEQ Graphique_ \* ARABIC ">
                        <w:r>
                          <w:rPr>
                            <w:noProof/>
                          </w:rPr>
                          <w:t>2</w:t>
                        </w:r>
                      </w:fldSimple>
                      <w:bookmarkEnd w:id="27"/>
                      <w:r>
                        <w:t xml:space="preserve"> : Les fusions-acquisitions en France dans les secteurs des services informatiques par classe de CA en volume et valeur</w:t>
                      </w:r>
                    </w:p>
                  </w:txbxContent>
                </v:textbox>
                <w10:wrap type="tight"/>
              </v:shape>
            </w:pict>
          </mc:Fallback>
        </mc:AlternateContent>
      </w:r>
      <w:r w:rsidR="000D3DE1">
        <w:rPr>
          <w:noProof/>
        </w:rPr>
        <w:drawing>
          <wp:anchor distT="0" distB="0" distL="114300" distR="114300" simplePos="0" relativeHeight="251629568" behindDoc="1" locked="0" layoutInCell="1" allowOverlap="1" wp14:anchorId="7FFC1E1F" wp14:editId="7FFC1E20">
            <wp:simplePos x="0" y="0"/>
            <wp:positionH relativeFrom="column">
              <wp:posOffset>-45085</wp:posOffset>
            </wp:positionH>
            <wp:positionV relativeFrom="paragraph">
              <wp:posOffset>-321310</wp:posOffset>
            </wp:positionV>
            <wp:extent cx="9256395" cy="6070600"/>
            <wp:effectExtent l="19050" t="0" r="1905" b="0"/>
            <wp:wrapTight wrapText="bothSides">
              <wp:wrapPolygon edited="0">
                <wp:start x="-44" y="0"/>
                <wp:lineTo x="-44" y="21555"/>
                <wp:lineTo x="21604" y="21555"/>
                <wp:lineTo x="21604" y="0"/>
                <wp:lineTo x="-44"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14:paraId="7FFC1B2C" w14:textId="37B0B92B" w:rsidR="00443015" w:rsidRDefault="00E51A1C" w:rsidP="000D3DE1">
      <w:pPr>
        <w:spacing w:before="0" w:after="0"/>
        <w:ind w:left="0"/>
        <w:jc w:val="left"/>
      </w:pPr>
      <w:r>
        <w:rPr>
          <w:noProof/>
        </w:rPr>
        <w:lastRenderedPageBreak/>
        <mc:AlternateContent>
          <mc:Choice Requires="wps">
            <w:drawing>
              <wp:anchor distT="0" distB="0" distL="114300" distR="114300" simplePos="0" relativeHeight="251662848" behindDoc="0" locked="0" layoutInCell="1" allowOverlap="1" wp14:anchorId="7FFC1E21" wp14:editId="00362186">
                <wp:simplePos x="0" y="0"/>
                <wp:positionH relativeFrom="column">
                  <wp:posOffset>-49530</wp:posOffset>
                </wp:positionH>
                <wp:positionV relativeFrom="paragraph">
                  <wp:posOffset>5730240</wp:posOffset>
                </wp:positionV>
                <wp:extent cx="8989695" cy="298450"/>
                <wp:effectExtent l="3810" t="0" r="0" b="0"/>
                <wp:wrapTight wrapText="bothSides">
                  <wp:wrapPolygon edited="0">
                    <wp:start x="-21" y="0"/>
                    <wp:lineTo x="-21" y="20727"/>
                    <wp:lineTo x="21600" y="20727"/>
                    <wp:lineTo x="21600" y="0"/>
                    <wp:lineTo x="-21" y="0"/>
                  </wp:wrapPolygon>
                </wp:wrapTight>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96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6" w14:textId="77777777" w:rsidR="00CB4331" w:rsidRPr="00CC6242" w:rsidRDefault="00CB4331" w:rsidP="000D3DE1">
                            <w:pPr>
                              <w:pStyle w:val="Caption"/>
                              <w:rPr>
                                <w:noProof/>
                              </w:rPr>
                            </w:pPr>
                            <w:bookmarkStart w:id="28" w:name="_Ref451798525"/>
                            <w:r>
                              <w:t xml:space="preserve">Graphique  </w:t>
                            </w:r>
                            <w:fldSimple w:instr=" SEQ Graphique_ \* ARABIC ">
                              <w:r>
                                <w:rPr>
                                  <w:noProof/>
                                </w:rPr>
                                <w:t>3</w:t>
                              </w:r>
                            </w:fldSimple>
                            <w:bookmarkEnd w:id="28"/>
                            <w:r>
                              <w:t xml:space="preserve"> : Les origines des acquéreurs des opérations de fusions-acquisitions par volume et valeur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21" id="Text Box 10" o:spid="_x0000_s1028" type="#_x0000_t202" style="position:absolute;margin-left:-3.9pt;margin-top:451.2pt;width:707.85pt;height: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" stroked="f">
                <v:textbox style="mso-fit-shape-to-text:t" inset="0,0,0,0">
                  <w:txbxContent>
                    <w:p w14:paraId="7FFC1E86" w14:textId="77777777" w:rsidR="00CB4331" w:rsidRPr="00CC6242" w:rsidRDefault="00CB4331" w:rsidP="000D3DE1">
                      <w:pPr>
                        <w:pStyle w:val="Caption"/>
                        <w:rPr>
                          <w:noProof/>
                        </w:rPr>
                      </w:pPr>
                      <w:bookmarkStart w:id="29" w:name="_Ref451798525"/>
                      <w:r>
                        <w:t xml:space="preserve">Graphique  </w:t>
                      </w:r>
                      <w:fldSimple w:instr=" SEQ Graphique_ \* ARABIC ">
                        <w:r>
                          <w:rPr>
                            <w:noProof/>
                          </w:rPr>
                          <w:t>3</w:t>
                        </w:r>
                      </w:fldSimple>
                      <w:bookmarkEnd w:id="29"/>
                      <w:r>
                        <w:t xml:space="preserve"> : Les origines des acquéreurs des opérations de fusions-acquisitions par volume et valeur</w:t>
                      </w:r>
                    </w:p>
                  </w:txbxContent>
                </v:textbox>
                <w10:wrap type="tight"/>
              </v:shape>
            </w:pict>
          </mc:Fallback>
        </mc:AlternateContent>
      </w:r>
      <w:r w:rsidR="000D3DE1">
        <w:rPr>
          <w:noProof/>
        </w:rPr>
        <w:drawing>
          <wp:anchor distT="0" distB="0" distL="114300" distR="114300" simplePos="0" relativeHeight="251638784" behindDoc="1" locked="0" layoutInCell="1" allowOverlap="1" wp14:anchorId="7FFC1E22" wp14:editId="7FFC1E23">
            <wp:simplePos x="0" y="0"/>
            <wp:positionH relativeFrom="column">
              <wp:posOffset>-49530</wp:posOffset>
            </wp:positionH>
            <wp:positionV relativeFrom="paragraph">
              <wp:posOffset>-397510</wp:posOffset>
            </wp:positionV>
            <wp:extent cx="9256395" cy="6070600"/>
            <wp:effectExtent l="19050" t="0" r="1905" b="0"/>
            <wp:wrapTight wrapText="bothSides">
              <wp:wrapPolygon edited="0">
                <wp:start x="-44" y="0"/>
                <wp:lineTo x="-44" y="21555"/>
                <wp:lineTo x="21604" y="21555"/>
                <wp:lineTo x="21604" y="0"/>
                <wp:lineTo x="-44"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r w:rsidR="000D3DE1">
        <w:br w:type="page"/>
      </w:r>
    </w:p>
    <w:p w14:paraId="7FFC1B2D" w14:textId="77777777" w:rsidR="00FC4333" w:rsidRDefault="00FC4333" w:rsidP="00FC4333">
      <w:pPr>
        <w:pStyle w:val="Heading1"/>
      </w:pPr>
      <w:bookmarkStart w:id="30" w:name="_Toc454465563"/>
      <w:r>
        <w:lastRenderedPageBreak/>
        <w:t>Procédures technologiques et innovation</w:t>
      </w:r>
      <w:bookmarkEnd w:id="30"/>
      <w:r>
        <w:t xml:space="preserve">   </w:t>
      </w:r>
    </w:p>
    <w:p w14:paraId="7FFC1B2E" w14:textId="77777777" w:rsidR="00FC4333" w:rsidRDefault="00443015" w:rsidP="00443015">
      <w:pPr>
        <w:pStyle w:val="Heading2"/>
      </w:pPr>
      <w:bookmarkStart w:id="31" w:name="_Toc454465564"/>
      <w:r>
        <w:t xml:space="preserve">Industrialisation et standardisation </w:t>
      </w:r>
      <w:r w:rsidR="00F10C46">
        <w:t>des services informatiques</w:t>
      </w:r>
      <w:bookmarkEnd w:id="31"/>
      <w:r>
        <w:t xml:space="preserve"> </w:t>
      </w:r>
    </w:p>
    <w:p w14:paraId="7FFC1B2F" w14:textId="77777777" w:rsidR="00D35E50" w:rsidRDefault="00D35E50" w:rsidP="00D35E50">
      <w:r>
        <w:t xml:space="preserve">L’innovation dans ce secteur n’est pas liée seulement aux technologies de l’information mais surtout aux méthodes d’organisation et de gestion permettant d’optimiser les coûts. En effet, dans ce secteur on trouve d’une part, la pression des clients qui veulent optimiser leurs coûts informatiques. D’autre part la pression des consultants qui veulent toujours gagner plus et leurs menaces de changer l’entreprise est crédible car on constate effectivement un taux de turnover élevé dans les ESN. </w:t>
      </w:r>
    </w:p>
    <w:p w14:paraId="7FFC1B30" w14:textId="77777777" w:rsidR="00D35E50" w:rsidRDefault="00D35E50" w:rsidP="00D35E50">
      <w:r>
        <w:t xml:space="preserve">On note principalement des innovations de processus qui visent à optimiser : </w:t>
      </w:r>
    </w:p>
    <w:p w14:paraId="7FFC1B31" w14:textId="77777777" w:rsidR="00D35E50" w:rsidRDefault="00D35E50" w:rsidP="00D35E50">
      <w:pPr>
        <w:pStyle w:val="ListParagraph"/>
        <w:numPr>
          <w:ilvl w:val="0"/>
          <w:numId w:val="26"/>
        </w:numPr>
      </w:pPr>
      <w:r w:rsidRPr="00D35E50">
        <w:rPr>
          <w:b/>
          <w:bCs/>
        </w:rPr>
        <w:t>Gestion des ressources humaines</w:t>
      </w:r>
      <w:r>
        <w:t xml:space="preserve"> à travers des politiques d’attraction et de fidélisation des consultants, </w:t>
      </w:r>
    </w:p>
    <w:p w14:paraId="7FFC1B32" w14:textId="77777777" w:rsidR="00D35E50" w:rsidRDefault="00D35E50" w:rsidP="00D35E50">
      <w:pPr>
        <w:pStyle w:val="ListParagraph"/>
        <w:numPr>
          <w:ilvl w:val="0"/>
          <w:numId w:val="26"/>
        </w:numPr>
      </w:pPr>
      <w:r>
        <w:t xml:space="preserve">Capitalisation et </w:t>
      </w:r>
      <w:r w:rsidRPr="00D35E50">
        <w:rPr>
          <w:b/>
          <w:bCs/>
        </w:rPr>
        <w:t>gestion de la connaissance</w:t>
      </w:r>
      <w:r>
        <w:t xml:space="preserve"> pour minimiser les effets de turnover élevé, </w:t>
      </w:r>
    </w:p>
    <w:p w14:paraId="7FFC1B33" w14:textId="77777777" w:rsidR="00D35E50" w:rsidRDefault="00D35E50" w:rsidP="00D35E50">
      <w:pPr>
        <w:pStyle w:val="ListParagraph"/>
        <w:numPr>
          <w:ilvl w:val="0"/>
          <w:numId w:val="26"/>
        </w:numPr>
      </w:pPr>
      <w:r>
        <w:t xml:space="preserve">Gestion de projets et d’opérations avec des méthodes </w:t>
      </w:r>
      <w:r w:rsidRPr="00D35E50">
        <w:rPr>
          <w:b/>
          <w:bCs/>
        </w:rPr>
        <w:t>Agiles</w:t>
      </w:r>
      <w:r>
        <w:t xml:space="preserve"> et </w:t>
      </w:r>
      <w:r w:rsidRPr="00D35E50">
        <w:rPr>
          <w:b/>
          <w:bCs/>
        </w:rPr>
        <w:t>Lean</w:t>
      </w:r>
      <w:r>
        <w:t xml:space="preserve"> pour optimiser les coûts pour les clients, </w:t>
      </w:r>
    </w:p>
    <w:p w14:paraId="7FFC1B34" w14:textId="77777777" w:rsidR="00D35E50" w:rsidRDefault="00D35E50" w:rsidP="00D35E50">
      <w:pPr>
        <w:pStyle w:val="ListParagraph"/>
        <w:numPr>
          <w:ilvl w:val="0"/>
          <w:numId w:val="26"/>
        </w:numPr>
      </w:pPr>
      <w:r>
        <w:t xml:space="preserve">Intégration des processus opérationnels et des processus de développement informatique pour fluidifier la « production » digitale. Il s’agit de la notion de </w:t>
      </w:r>
      <w:r w:rsidRPr="00D35E50">
        <w:rPr>
          <w:b/>
          <w:bCs/>
        </w:rPr>
        <w:t>DevOps</w:t>
      </w:r>
      <w:r>
        <w:t xml:space="preserve">. </w:t>
      </w:r>
    </w:p>
    <w:p w14:paraId="7FFC1B35" w14:textId="77777777" w:rsidR="00D35E50" w:rsidRDefault="00D35E50" w:rsidP="00D35E50"/>
    <w:p w14:paraId="7FFC1B36" w14:textId="77777777" w:rsidR="00D35E50" w:rsidRDefault="00AB4E72" w:rsidP="00D35E50">
      <w:r>
        <w:t>L</w:t>
      </w:r>
      <w:r w:rsidR="00D35E50" w:rsidRPr="00C22AEB">
        <w:t xml:space="preserve">’activité de conseil </w:t>
      </w:r>
      <w:r>
        <w:t>utilise</w:t>
      </w:r>
      <w:r w:rsidR="00D35E50">
        <w:t xml:space="preserve"> ces innovations qui viennent de l’amont de la filière (</w:t>
      </w:r>
      <w:r w:rsidR="00D35E50" w:rsidRPr="00C22AEB">
        <w:t>éditeurs de logiciel</w:t>
      </w:r>
      <w:r w:rsidR="00D35E50">
        <w:t xml:space="preserve"> et</w:t>
      </w:r>
      <w:r w:rsidR="00D35E50" w:rsidRPr="00C22AEB">
        <w:t xml:space="preserve"> télécoms</w:t>
      </w:r>
      <w:r w:rsidR="00D35E50">
        <w:t xml:space="preserve">) mais le conseil a un rôle important dans l’influence et l’orientation des innovations des technologies de l’information et de la communication. En effet, </w:t>
      </w:r>
      <w:r w:rsidR="00D35E50" w:rsidRPr="001E0302">
        <w:rPr>
          <w:b/>
          <w:bCs/>
        </w:rPr>
        <w:t>le conseil permet d’abord d’écouter et de comprendre le besoin des clients</w:t>
      </w:r>
      <w:r w:rsidR="00D35E50">
        <w:t xml:space="preserve">. Ces besoins sont ensuite remontés aux techniciens qui vont trouver de nouvelles solutions plus efficaces aux problèmes des clients. </w:t>
      </w:r>
    </w:p>
    <w:p w14:paraId="7FFC1B37" w14:textId="77777777" w:rsidR="00926BD8" w:rsidRDefault="00926BD8" w:rsidP="009C261D"/>
    <w:p w14:paraId="7FFC1B38" w14:textId="77777777" w:rsidR="00D35E50" w:rsidRDefault="00D35E50">
      <w:pPr>
        <w:spacing w:before="0" w:after="0"/>
        <w:ind w:left="0"/>
        <w:jc w:val="left"/>
        <w:rPr>
          <w:rFonts w:ascii="Verdana" w:hAnsi="Verdana" w:cs="Times New Roman"/>
          <w:b/>
          <w:bCs/>
          <w:i/>
          <w:iCs/>
          <w:sz w:val="26"/>
          <w:szCs w:val="28"/>
          <w:lang w:eastAsia="en-US"/>
        </w:rPr>
      </w:pPr>
      <w:r>
        <w:br w:type="page"/>
      </w:r>
    </w:p>
    <w:p w14:paraId="7FFC1B39" w14:textId="77777777" w:rsidR="00443015" w:rsidRDefault="00443015" w:rsidP="00443015">
      <w:pPr>
        <w:pStyle w:val="Heading2"/>
      </w:pPr>
      <w:bookmarkStart w:id="32" w:name="_Toc454465565"/>
      <w:r>
        <w:lastRenderedPageBreak/>
        <w:t>L’innovation dans les services informatiques</w:t>
      </w:r>
      <w:bookmarkEnd w:id="32"/>
      <w:r>
        <w:t xml:space="preserve"> </w:t>
      </w:r>
    </w:p>
    <w:p w14:paraId="7FFC1B3A" w14:textId="77777777" w:rsidR="00D35E50" w:rsidRDefault="00D35E50" w:rsidP="00D35E50">
      <w:r w:rsidRPr="00C22AEB">
        <w:t>Aujourd’hui les</w:t>
      </w:r>
      <w:r>
        <w:t xml:space="preserve"> prestations de services en conseil tournent autour des tendances qui se résument par l’acronyme SMACSI (Social media, Mobile, Analytics, Cloud computing, cyberSecurity, Internet of Everything) </w:t>
      </w:r>
    </w:p>
    <w:p w14:paraId="7FFC1B3B" w14:textId="77777777" w:rsidR="00E92DE4" w:rsidRDefault="00E92DE4" w:rsidP="00D35E50"/>
    <w:tbl>
      <w:tblPr>
        <w:tblStyle w:val="TableGrid"/>
        <w:tblW w:w="0" w:type="auto"/>
        <w:jc w:val="center"/>
        <w:tblLook w:val="04A0" w:firstRow="1" w:lastRow="0" w:firstColumn="1" w:lastColumn="0" w:noHBand="0" w:noVBand="1"/>
      </w:tblPr>
      <w:tblGrid>
        <w:gridCol w:w="2763"/>
        <w:gridCol w:w="11663"/>
      </w:tblGrid>
      <w:tr w:rsidR="00D35E50" w14:paraId="7FFC1B3E" w14:textId="77777777" w:rsidTr="00E92DE4">
        <w:trPr>
          <w:jc w:val="center"/>
        </w:trPr>
        <w:tc>
          <w:tcPr>
            <w:tcW w:w="2763" w:type="dxa"/>
            <w:vAlign w:val="center"/>
          </w:tcPr>
          <w:p w14:paraId="7FFC1B3C" w14:textId="77777777" w:rsidR="00D35E50" w:rsidRPr="00C22AEB" w:rsidRDefault="00D35E50" w:rsidP="00492605">
            <w:r>
              <w:t xml:space="preserve">Social media </w:t>
            </w:r>
          </w:p>
        </w:tc>
        <w:tc>
          <w:tcPr>
            <w:tcW w:w="11663" w:type="dxa"/>
          </w:tcPr>
          <w:p w14:paraId="7FFC1B3D" w14:textId="77777777" w:rsidR="00D35E50" w:rsidRPr="00C22AEB" w:rsidRDefault="00D35E50" w:rsidP="00492605">
            <w:r>
              <w:t xml:space="preserve">Ce sont des technologies permettant d’exploiter les canaux de communication avec les clients à travers les réseaux sociaux. </w:t>
            </w:r>
          </w:p>
        </w:tc>
      </w:tr>
      <w:tr w:rsidR="00D35E50" w14:paraId="7FFC1B41" w14:textId="77777777" w:rsidTr="00E92DE4">
        <w:trPr>
          <w:jc w:val="center"/>
        </w:trPr>
        <w:tc>
          <w:tcPr>
            <w:tcW w:w="2763" w:type="dxa"/>
            <w:vAlign w:val="center"/>
          </w:tcPr>
          <w:p w14:paraId="7FFC1B3F" w14:textId="77777777" w:rsidR="00D35E50" w:rsidRDefault="00D35E50" w:rsidP="00492605">
            <w:r>
              <w:t>Mobility</w:t>
            </w:r>
          </w:p>
        </w:tc>
        <w:tc>
          <w:tcPr>
            <w:tcW w:w="11663" w:type="dxa"/>
          </w:tcPr>
          <w:p w14:paraId="7FFC1B40" w14:textId="77777777" w:rsidR="00D35E50" w:rsidRPr="00C22AEB" w:rsidRDefault="00D35E50" w:rsidP="00492605">
            <w:r w:rsidRPr="00C22AEB">
              <w:t xml:space="preserve">Cette offre fait références aux différents terminaux </w:t>
            </w:r>
            <w:r>
              <w:t xml:space="preserve">et applications </w:t>
            </w:r>
            <w:r w:rsidRPr="00C22AEB">
              <w:t>mobiles</w:t>
            </w:r>
            <w:r>
              <w:t xml:space="preserve"> (les apps)</w:t>
            </w:r>
            <w:r w:rsidRPr="00C22AEB">
              <w:t xml:space="preserve"> qui permettent de se connecter à internet</w:t>
            </w:r>
            <w:r>
              <w:t xml:space="preserve"> et qui sont utilisées par les clients, les fournisseurs et les collaborateurs. </w:t>
            </w:r>
          </w:p>
        </w:tc>
      </w:tr>
      <w:tr w:rsidR="00D35E50" w14:paraId="7FFC1B44" w14:textId="77777777" w:rsidTr="00E92DE4">
        <w:trPr>
          <w:jc w:val="center"/>
        </w:trPr>
        <w:tc>
          <w:tcPr>
            <w:tcW w:w="2763" w:type="dxa"/>
            <w:vAlign w:val="center"/>
          </w:tcPr>
          <w:p w14:paraId="7FFC1B42" w14:textId="77777777" w:rsidR="00D35E50" w:rsidRPr="00C22AEB" w:rsidRDefault="00D35E50" w:rsidP="00492605">
            <w:pPr>
              <w:rPr>
                <w:szCs w:val="22"/>
              </w:rPr>
            </w:pPr>
            <w:r w:rsidRPr="00D311E3">
              <w:t xml:space="preserve">Analytics &amp; Big </w:t>
            </w:r>
            <w:r w:rsidRPr="00C82B29">
              <w:t>Data</w:t>
            </w:r>
            <w:r w:rsidRPr="00C22AEB">
              <w:rPr>
                <w:bCs/>
                <w:szCs w:val="22"/>
              </w:rPr>
              <w:t xml:space="preserve"> </w:t>
            </w:r>
          </w:p>
        </w:tc>
        <w:tc>
          <w:tcPr>
            <w:tcW w:w="11663" w:type="dxa"/>
          </w:tcPr>
          <w:p w14:paraId="7FFC1B43" w14:textId="77777777" w:rsidR="00D35E50" w:rsidRPr="00C22AEB" w:rsidRDefault="00D35E50" w:rsidP="00492605">
            <w:pPr>
              <w:rPr>
                <w:szCs w:val="22"/>
              </w:rPr>
            </w:pPr>
            <w:r w:rsidRPr="00C22AEB">
              <w:rPr>
                <w:szCs w:val="22"/>
              </w:rPr>
              <w:t xml:space="preserve">Le </w:t>
            </w:r>
            <w:r>
              <w:rPr>
                <w:szCs w:val="22"/>
              </w:rPr>
              <w:t>B</w:t>
            </w:r>
            <w:r w:rsidRPr="00C22AEB">
              <w:rPr>
                <w:szCs w:val="22"/>
              </w:rPr>
              <w:t xml:space="preserve">ig </w:t>
            </w:r>
            <w:r>
              <w:rPr>
                <w:szCs w:val="22"/>
              </w:rPr>
              <w:t>D</w:t>
            </w:r>
            <w:r w:rsidRPr="00C22AEB">
              <w:rPr>
                <w:szCs w:val="22"/>
              </w:rPr>
              <w:t xml:space="preserve">ata consiste à analyser une grande masse d’informations venant de sources diverses avec des grandes vitesses. L’objectif est de comprendre le passé (Business Intelligence) </w:t>
            </w:r>
            <w:r>
              <w:rPr>
                <w:szCs w:val="22"/>
              </w:rPr>
              <w:t>pour</w:t>
            </w:r>
            <w:r w:rsidRPr="00C22AEB">
              <w:rPr>
                <w:szCs w:val="22"/>
              </w:rPr>
              <w:t xml:space="preserve"> gérer le futur (Business Analytics). </w:t>
            </w:r>
            <w:r>
              <w:rPr>
                <w:szCs w:val="22"/>
              </w:rPr>
              <w:t xml:space="preserve">Ces technologies permettent de mieux comprendre les comportements des clients et de répondre en temps réel à leurs attentes. </w:t>
            </w:r>
          </w:p>
        </w:tc>
      </w:tr>
      <w:tr w:rsidR="00D35E50" w14:paraId="7FFC1B47" w14:textId="77777777" w:rsidTr="00E92DE4">
        <w:trPr>
          <w:jc w:val="center"/>
        </w:trPr>
        <w:tc>
          <w:tcPr>
            <w:tcW w:w="2763" w:type="dxa"/>
            <w:vAlign w:val="center"/>
          </w:tcPr>
          <w:p w14:paraId="7FFC1B45" w14:textId="77777777" w:rsidR="00D35E50" w:rsidRPr="00D66BD1" w:rsidRDefault="00D35E50" w:rsidP="00492605">
            <w:r>
              <w:t>Cloud computing</w:t>
            </w:r>
          </w:p>
        </w:tc>
        <w:tc>
          <w:tcPr>
            <w:tcW w:w="11663" w:type="dxa"/>
          </w:tcPr>
          <w:p w14:paraId="7FFC1B46" w14:textId="77777777" w:rsidR="00D35E50" w:rsidRPr="00372E8A" w:rsidRDefault="00D35E50" w:rsidP="00492605">
            <w:r>
              <w:t xml:space="preserve">Ces technologies liées essentiellement à des infrastructures informatiques en ligne et qui permettent de réduire les coûts fixes de gestion d’un parc informatique local. </w:t>
            </w:r>
          </w:p>
        </w:tc>
      </w:tr>
      <w:tr w:rsidR="00D35E50" w14:paraId="7FFC1B4A" w14:textId="77777777" w:rsidTr="00E92DE4">
        <w:trPr>
          <w:jc w:val="center"/>
        </w:trPr>
        <w:tc>
          <w:tcPr>
            <w:tcW w:w="2763" w:type="dxa"/>
            <w:vAlign w:val="center"/>
          </w:tcPr>
          <w:p w14:paraId="7FFC1B48" w14:textId="77777777" w:rsidR="00D35E50" w:rsidRPr="00C22AEB" w:rsidRDefault="00D35E50" w:rsidP="00492605">
            <w:r w:rsidRPr="00C22AEB">
              <w:t xml:space="preserve">Cyber </w:t>
            </w:r>
            <w:r>
              <w:t>S</w:t>
            </w:r>
            <w:r w:rsidRPr="00C22AEB">
              <w:t>écurité</w:t>
            </w:r>
          </w:p>
        </w:tc>
        <w:tc>
          <w:tcPr>
            <w:tcW w:w="11663" w:type="dxa"/>
          </w:tcPr>
          <w:p w14:paraId="7FFC1B49" w14:textId="77777777" w:rsidR="00D35E50" w:rsidRPr="00C22AEB" w:rsidRDefault="00D35E50" w:rsidP="00492605">
            <w:pPr>
              <w:pStyle w:val="Default"/>
              <w:rPr>
                <w:color w:val="auto"/>
                <w:sz w:val="22"/>
                <w:szCs w:val="22"/>
                <w:lang w:val="fr-FR"/>
              </w:rPr>
            </w:pPr>
            <w:r w:rsidRPr="00C22AEB">
              <w:rPr>
                <w:color w:val="auto"/>
                <w:sz w:val="22"/>
                <w:szCs w:val="22"/>
                <w:lang w:val="fr-FR"/>
              </w:rPr>
              <w:t>Le sujet récu</w:t>
            </w:r>
            <w:r>
              <w:rPr>
                <w:color w:val="auto"/>
                <w:sz w:val="22"/>
                <w:szCs w:val="22"/>
                <w:lang w:val="fr-FR"/>
              </w:rPr>
              <w:t>r</w:t>
            </w:r>
            <w:r w:rsidRPr="00C22AEB">
              <w:rPr>
                <w:color w:val="auto"/>
                <w:sz w:val="22"/>
                <w:szCs w:val="22"/>
                <w:lang w:val="fr-FR"/>
              </w:rPr>
              <w:t xml:space="preserve">rent de la sécurité est devenu une exigence prioritaire des clients. Ce phénomène constitue un nouveau moteur de croissance pour les ESN. D’après le cabinet PAC, ce marché s’élevait à 1.58 Md€ en 2014 dont 70% pour le conseil. D’ailleurs de plus en plus d’ESN se positionnent sur ce segment avec l’entrée de nouveaux acteurs. </w:t>
            </w:r>
          </w:p>
        </w:tc>
      </w:tr>
      <w:tr w:rsidR="00D35E50" w:rsidRPr="00372E8A" w14:paraId="7FFC1B4E" w14:textId="77777777" w:rsidTr="00E92DE4">
        <w:trPr>
          <w:jc w:val="center"/>
        </w:trPr>
        <w:tc>
          <w:tcPr>
            <w:tcW w:w="2763" w:type="dxa"/>
            <w:vAlign w:val="center"/>
          </w:tcPr>
          <w:p w14:paraId="7FFC1B4B" w14:textId="77777777" w:rsidR="00D35E50" w:rsidRPr="00372E8A" w:rsidRDefault="00D35E50" w:rsidP="00492605">
            <w:pPr>
              <w:rPr>
                <w:lang w:val="en-US"/>
              </w:rPr>
            </w:pPr>
            <w:r w:rsidRPr="00372E8A">
              <w:rPr>
                <w:lang w:val="en-US"/>
              </w:rPr>
              <w:t xml:space="preserve">Internet of Things </w:t>
            </w:r>
          </w:p>
          <w:p w14:paraId="7FFC1B4C" w14:textId="77777777" w:rsidR="00D35E50" w:rsidRPr="00372E8A" w:rsidRDefault="00E92DE4" w:rsidP="00E92DE4">
            <w:pPr>
              <w:rPr>
                <w:lang w:val="en-US"/>
              </w:rPr>
            </w:pPr>
            <w:r>
              <w:rPr>
                <w:lang w:val="en-US"/>
              </w:rPr>
              <w:t>e</w:t>
            </w:r>
            <w:r w:rsidR="00D35E50" w:rsidRPr="00372E8A">
              <w:rPr>
                <w:lang w:val="en-US"/>
              </w:rPr>
              <w:t xml:space="preserve">t Internet of Everything </w:t>
            </w:r>
          </w:p>
        </w:tc>
        <w:tc>
          <w:tcPr>
            <w:tcW w:w="11663" w:type="dxa"/>
          </w:tcPr>
          <w:p w14:paraId="7FFC1B4D" w14:textId="77777777" w:rsidR="00D35E50" w:rsidRPr="00372E8A" w:rsidRDefault="00D35E50" w:rsidP="00492605">
            <w:pPr>
              <w:pStyle w:val="Default"/>
              <w:rPr>
                <w:color w:val="auto"/>
                <w:sz w:val="22"/>
                <w:szCs w:val="22"/>
                <w:lang w:val="fr-FR"/>
              </w:rPr>
            </w:pPr>
            <w:r w:rsidRPr="00372E8A">
              <w:rPr>
                <w:color w:val="auto"/>
                <w:sz w:val="22"/>
                <w:szCs w:val="22"/>
                <w:lang w:val="fr-FR"/>
              </w:rPr>
              <w:t xml:space="preserve">Au début c’était le terme internet </w:t>
            </w:r>
            <w:r>
              <w:rPr>
                <w:color w:val="auto"/>
                <w:sz w:val="22"/>
                <w:szCs w:val="22"/>
                <w:lang w:val="fr-FR"/>
              </w:rPr>
              <w:t>of things (ou internet des obje</w:t>
            </w:r>
            <w:r w:rsidRPr="00372E8A">
              <w:rPr>
                <w:color w:val="auto"/>
                <w:sz w:val="22"/>
                <w:szCs w:val="22"/>
                <w:lang w:val="fr-FR"/>
              </w:rPr>
              <w:t xml:space="preserve">ts) qui est </w:t>
            </w:r>
            <w:r>
              <w:rPr>
                <w:color w:val="auto"/>
                <w:sz w:val="22"/>
                <w:szCs w:val="22"/>
                <w:lang w:val="fr-FR"/>
              </w:rPr>
              <w:t xml:space="preserve">utilisé pour désigner les technologies permettant de connecter des objets et des machines. Cisco a introduit la nouvelle notion de « Internet of Everything » qui permet de généraliser le concept de connecter non seulement les objets mais aussi les personnes, les objets, les processus et les données. </w:t>
            </w:r>
          </w:p>
        </w:tc>
      </w:tr>
    </w:tbl>
    <w:p w14:paraId="7FFC1B4F" w14:textId="77777777" w:rsidR="00443015" w:rsidRDefault="00443015" w:rsidP="009C261D"/>
    <w:p w14:paraId="7FFC1B50" w14:textId="77777777" w:rsidR="00FC4333" w:rsidRDefault="00FC4333" w:rsidP="00FC4333">
      <w:pPr>
        <w:pStyle w:val="Heading1"/>
      </w:pPr>
      <w:bookmarkStart w:id="33" w:name="_Toc454465566"/>
      <w:r>
        <w:lastRenderedPageBreak/>
        <w:t>Conjoncture</w:t>
      </w:r>
      <w:bookmarkEnd w:id="33"/>
      <w:r>
        <w:t xml:space="preserve">  </w:t>
      </w:r>
    </w:p>
    <w:p w14:paraId="7FFC1B51" w14:textId="77777777" w:rsidR="00595D47" w:rsidRDefault="00443015" w:rsidP="00443015">
      <w:pPr>
        <w:pStyle w:val="Heading2"/>
      </w:pPr>
      <w:bookmarkStart w:id="34" w:name="_Toc454465567"/>
      <w:r>
        <w:t>Indice de chiffre d’affaire</w:t>
      </w:r>
      <w:bookmarkEnd w:id="34"/>
      <w:r>
        <w:t xml:space="preserve"> </w:t>
      </w:r>
    </w:p>
    <w:p w14:paraId="7FFC1B52" w14:textId="77777777" w:rsidR="00C52F35" w:rsidRDefault="00C52F35" w:rsidP="00B206F4">
      <w:pPr>
        <w:ind w:left="0"/>
      </w:pPr>
      <w:r w:rsidRPr="00507B62">
        <w:t>Le marché de conseil IT est en croissance avec un TCAM de 6,5%. Ce marché croit plus vite que le marché global des TIC à cause des externalisations qui sont de plus en plus importantes. En effet, les externalisations des parties programmations se fait de plus en plus dans les pays à faible coût de main d’oeuvre. Comme la consommation de services informatiques nécessite la consommation de « conseil TIC » au préalable, le chiffre d’affaire des ESN peut être utilisé comme proxy pour comprendre la dynamique de la demande des conseils.</w:t>
      </w:r>
      <w:r w:rsidR="00B206F4">
        <w:t xml:space="preserve"> </w:t>
      </w:r>
    </w:p>
    <w:p w14:paraId="7FFC1B53" w14:textId="77777777" w:rsidR="00C52F35" w:rsidRPr="00507B62" w:rsidRDefault="00C52F35" w:rsidP="00C52F35">
      <w:pPr>
        <w:ind w:left="0"/>
      </w:pPr>
      <w:r w:rsidRPr="00507B62">
        <w:t xml:space="preserve">Le premier facteur explicatif de la croissance de l’activité est l’augmentation de la part allouée aux dépenses et investissements en TIC. En effet, les DSI n’étant plus considérées comme des centres de coût mais plutôt comme des centres de profit, les dépenses liées aux systèmes d’information augmentent au sein de chaque entreprise et traduisent directement </w:t>
      </w:r>
      <w:r w:rsidR="00CF0D0B" w:rsidRPr="00507B62">
        <w:t>une demande adressée</w:t>
      </w:r>
      <w:r w:rsidRPr="00507B62">
        <w:t xml:space="preserve"> aux ESN en croissance eux aussi. </w:t>
      </w:r>
    </w:p>
    <w:p w14:paraId="7FFC1B54" w14:textId="77777777" w:rsidR="00C52F35" w:rsidRPr="00507B62" w:rsidRDefault="00C52F35" w:rsidP="00C52F35">
      <w:pPr>
        <w:ind w:left="0"/>
      </w:pPr>
      <w:r w:rsidRPr="00507B62">
        <w:t>Vient ensuite, une volonté de la part des entreprises de rationaliser leur coût en SI et se recentrer dans leur cœur de métier en externalisant des services IT (infogérance) ; Ce besoin se traduit par une autre demande vers les ESN.</w:t>
      </w:r>
    </w:p>
    <w:p w14:paraId="7FFC1B55" w14:textId="77777777" w:rsidR="00C52F35" w:rsidRPr="00C22AEB" w:rsidRDefault="00C52F35" w:rsidP="00C52F35">
      <w:pPr>
        <w:ind w:left="0"/>
      </w:pPr>
      <w:r w:rsidRPr="00507B62">
        <w:t xml:space="preserve">La croissance des ESN dépend aussi en grande partie de la capacité à proposer des solutions innovantes. Les clients sont de plus en plus sensibles aux nouvelles technologies car cela leur donne de nouvelles opportunités d’affaires. </w:t>
      </w:r>
    </w:p>
    <w:p w14:paraId="7FFC1B56" w14:textId="77777777" w:rsidR="00C52F35" w:rsidRDefault="00C52F35" w:rsidP="00C52F35">
      <w:pPr>
        <w:ind w:left="0"/>
      </w:pPr>
      <w:r w:rsidRPr="00C22AEB">
        <w:t xml:space="preserve">La conjoncture économique de chaque secteur d’activité a une influence importante sur la demande en conseil informatique. Nous notons par exemple une hausse importante de la demande de conseil en période de croissance et une diminution de la demande en période de crise. En période de croissance, les entreprises lancent différents projets qui nécessitent du conseil informatique. Or en période de crise, très peu de projets sont entrepris. Le caractère cyclique de la demande est bien lié à la conjoncture économique. </w:t>
      </w:r>
    </w:p>
    <w:p w14:paraId="7FFC1B57" w14:textId="77777777" w:rsidR="00C52F35" w:rsidRDefault="00C52F35" w:rsidP="00C52F35">
      <w:pPr>
        <w:ind w:left="0"/>
      </w:pPr>
      <w:r w:rsidRPr="00C22AEB">
        <w:t>Le dynamisme du secteur informatique en termes d’innovations technologiques contribue pour beaucoup à faire émerger le caractère versatile des entreprises. En effet, les entreprises redoutent de perdre leurs compétitivités face à leurs concurrents si elles ne s’intéressent pas à une nouvelle technologie. Ce dynamisme crée souvent l’obsolescence de certaines technologies et contraint de ce fait les entreprises à évoluer vers des nouvelles.</w:t>
      </w:r>
    </w:p>
    <w:p w14:paraId="7FFC1B58" w14:textId="77777777" w:rsidR="00C52F35" w:rsidRDefault="00C52F35" w:rsidP="00C52F35">
      <w:pPr>
        <w:ind w:left="0"/>
      </w:pPr>
      <w:r w:rsidRPr="00C22AEB">
        <w:t>L’effet de masse pousse également certaines entreprises</w:t>
      </w:r>
      <w:r>
        <w:t xml:space="preserve"> à s’orienter vers de nouvelles </w:t>
      </w:r>
      <w:r w:rsidRPr="00C22AEB">
        <w:t>technologies en espérant y trouver la réponse à leurs besoi</w:t>
      </w:r>
      <w:r>
        <w:t>ns</w:t>
      </w:r>
      <w:r w:rsidRPr="00C22AEB">
        <w:t xml:space="preserve"> et d’autre</w:t>
      </w:r>
      <w:r>
        <w:t>s</w:t>
      </w:r>
      <w:r w:rsidRPr="00C22AEB">
        <w:t xml:space="preserve"> y vont par mimétisme. </w:t>
      </w:r>
    </w:p>
    <w:p w14:paraId="7FFC1B59" w14:textId="77777777" w:rsidR="00443015" w:rsidRDefault="00C52F35" w:rsidP="00C52F35">
      <w:pPr>
        <w:ind w:left="0"/>
      </w:pPr>
      <w:r w:rsidRPr="00C22AEB">
        <w:t>Face à cette fluctuation de la demande, les entreprises en conseil informatique se doivent d’être en veille constante afin d’apporter à leur client le conseil optimal dont ils ont besoin.</w:t>
      </w:r>
    </w:p>
    <w:p w14:paraId="7FFC1B5A" w14:textId="77777777" w:rsidR="00B206F4" w:rsidRDefault="00B206F4" w:rsidP="00C52F35">
      <w:pPr>
        <w:ind w:left="0"/>
      </w:pPr>
    </w:p>
    <w:p w14:paraId="7FFC1B5B" w14:textId="7562F743" w:rsidR="00B206F4" w:rsidRDefault="00E51A1C" w:rsidP="00C52F35">
      <w:pPr>
        <w:ind w:left="0"/>
      </w:pPr>
      <w:r>
        <w:rPr>
          <w:noProof/>
        </w:rPr>
        <w:lastRenderedPageBreak/>
        <mc:AlternateContent>
          <mc:Choice Requires="wps">
            <w:drawing>
              <wp:anchor distT="0" distB="0" distL="114300" distR="114300" simplePos="0" relativeHeight="251657728" behindDoc="0" locked="0" layoutInCell="1" allowOverlap="1" wp14:anchorId="7FFC1E24" wp14:editId="5595F849">
                <wp:simplePos x="0" y="0"/>
                <wp:positionH relativeFrom="column">
                  <wp:posOffset>119380</wp:posOffset>
                </wp:positionH>
                <wp:positionV relativeFrom="paragraph">
                  <wp:posOffset>5829300</wp:posOffset>
                </wp:positionV>
                <wp:extent cx="7999730" cy="298450"/>
                <wp:effectExtent l="1270" t="1270" r="0" b="0"/>
                <wp:wrapTight wrapText="bothSides">
                  <wp:wrapPolygon edited="0">
                    <wp:start x="-21" y="0"/>
                    <wp:lineTo x="-21" y="20957"/>
                    <wp:lineTo x="21600" y="20957"/>
                    <wp:lineTo x="21600" y="0"/>
                    <wp:lineTo x="-21"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973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7" w14:textId="77777777" w:rsidR="00CB4331" w:rsidRPr="00BD751F" w:rsidRDefault="00CB4331" w:rsidP="00B206F4">
                            <w:pPr>
                              <w:pStyle w:val="Caption"/>
                            </w:pPr>
                            <w:bookmarkStart w:id="35" w:name="_Ref451798482"/>
                            <w:r>
                              <w:t xml:space="preserve">Graphique  </w:t>
                            </w:r>
                            <w:fldSimple w:instr=" SEQ Graphique_ \* ARABIC ">
                              <w:r>
                                <w:rPr>
                                  <w:noProof/>
                                </w:rPr>
                                <w:t>4</w:t>
                              </w:r>
                            </w:fldSimple>
                            <w:bookmarkEnd w:id="35"/>
                            <w:r>
                              <w:t xml:space="preserve"> : </w:t>
                            </w:r>
                            <w:r w:rsidRPr="008164C2">
                              <w:t>Indice de chiffre d'affaires en valeur - Conseil en systèmes et logiciels informatiques (62.02A)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24" id="Text Box 2" o:spid="_x0000_s1029" type="#_x0000_t202" style="position:absolute;left:0;text-align:left;margin-left:9.4pt;margin-top:459pt;width:629.9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" stroked="f">
                <v:textbox style="mso-fit-shape-to-text:t" inset="0,0,0,0">
                  <w:txbxContent>
                    <w:p w14:paraId="7FFC1E87" w14:textId="77777777" w:rsidR="00CB4331" w:rsidRPr="00BD751F" w:rsidRDefault="00CB4331" w:rsidP="00B206F4">
                      <w:pPr>
                        <w:pStyle w:val="Caption"/>
                      </w:pPr>
                      <w:bookmarkStart w:id="36" w:name="_Ref451798482"/>
                      <w:r>
                        <w:t xml:space="preserve">Graphique  </w:t>
                      </w:r>
                      <w:fldSimple w:instr=" SEQ Graphique_ \* ARABIC ">
                        <w:r>
                          <w:rPr>
                            <w:noProof/>
                          </w:rPr>
                          <w:t>4</w:t>
                        </w:r>
                      </w:fldSimple>
                      <w:bookmarkEnd w:id="36"/>
                      <w:r>
                        <w:t xml:space="preserve"> : </w:t>
                      </w:r>
                      <w:r w:rsidRPr="008164C2">
                        <w:t>Indice de chiffre d'affaires en valeur - Conseil en systèmes et logiciels informatiques (62.02A)</w:t>
                      </w:r>
                    </w:p>
                  </w:txbxContent>
                </v:textbox>
                <w10:wrap type="tight"/>
              </v:shape>
            </w:pict>
          </mc:Fallback>
        </mc:AlternateContent>
      </w:r>
      <w:r w:rsidR="009C3587">
        <w:rPr>
          <w:noProof/>
        </w:rPr>
        <w:drawing>
          <wp:anchor distT="0" distB="0" distL="114300" distR="114300" simplePos="0" relativeHeight="251592704" behindDoc="1" locked="0" layoutInCell="1" allowOverlap="1" wp14:anchorId="7FFC1E25" wp14:editId="7FFC1E26">
            <wp:simplePos x="0" y="0"/>
            <wp:positionH relativeFrom="column">
              <wp:posOffset>34925</wp:posOffset>
            </wp:positionH>
            <wp:positionV relativeFrom="paragraph">
              <wp:posOffset>-321310</wp:posOffset>
            </wp:positionV>
            <wp:extent cx="9201150" cy="6002655"/>
            <wp:effectExtent l="19050" t="0" r="0" b="0"/>
            <wp:wrapTight wrapText="bothSides">
              <wp:wrapPolygon edited="0">
                <wp:start x="-45" y="0"/>
                <wp:lineTo x="-45" y="21525"/>
                <wp:lineTo x="21600" y="21525"/>
                <wp:lineTo x="21600" y="0"/>
                <wp:lineTo x="-45" y="0"/>
              </wp:wrapPolygon>
            </wp:wrapTight>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9201150" cy="6002655"/>
                    </a:xfrm>
                    <a:prstGeom prst="rect">
                      <a:avLst/>
                    </a:prstGeom>
                    <a:noFill/>
                    <a:ln w="9525">
                      <a:noFill/>
                      <a:miter lim="800000"/>
                      <a:headEnd/>
                      <a:tailEnd/>
                    </a:ln>
                  </pic:spPr>
                </pic:pic>
              </a:graphicData>
            </a:graphic>
          </wp:anchor>
        </w:drawing>
      </w:r>
    </w:p>
    <w:p w14:paraId="7FFC1B5C" w14:textId="77777777" w:rsidR="00443015" w:rsidRDefault="00443015" w:rsidP="00443015">
      <w:pPr>
        <w:pStyle w:val="Heading2"/>
      </w:pPr>
      <w:bookmarkStart w:id="37" w:name="_Toc454465568"/>
      <w:r>
        <w:lastRenderedPageBreak/>
        <w:t>Indice des prix des prestations de service</w:t>
      </w:r>
      <w:bookmarkEnd w:id="37"/>
      <w:r>
        <w:t xml:space="preserve"> </w:t>
      </w:r>
    </w:p>
    <w:p w14:paraId="7FFC1B5D" w14:textId="77777777" w:rsidR="003E0B49" w:rsidRDefault="00685A7C" w:rsidP="00E2533D">
      <w:r>
        <w:t>L’indice des prix des prestations de conseil en informatique de l’INSEE</w:t>
      </w:r>
      <w:r w:rsidR="003E0B49">
        <w:t xml:space="preserve"> du </w:t>
      </w:r>
      <w:r w:rsidR="00E2533D">
        <w:t xml:space="preserve">Graphique  </w:t>
      </w:r>
      <w:r w:rsidR="00567BB5">
        <w:fldChar w:fldCharType="begin"/>
      </w:r>
      <w:r w:rsidR="007E7518">
        <w:instrText xml:space="preserve"> SEQ Graphique_ \* ARABIC </w:instrText>
      </w:r>
      <w:r w:rsidR="00567BB5">
        <w:fldChar w:fldCharType="separate"/>
      </w:r>
      <w:r w:rsidR="00CB4331">
        <w:rPr>
          <w:noProof/>
        </w:rPr>
        <w:t>5</w:t>
      </w:r>
      <w:r w:rsidR="00567BB5">
        <w:rPr>
          <w:noProof/>
        </w:rPr>
        <w:fldChar w:fldCharType="end"/>
      </w:r>
      <w:r>
        <w:t xml:space="preserve"> semble être stable sur la période entre 2005 et 2015 avec une légère croissance moyenne de 0.5%. Cet indice cache beaucoup d’hétérogénéité dans les catégories de prestations de services. L’indice de l’INSEE regroupe les deux secteurs 6202A de conseil en informatique et 6202B de maintenance informatique.</w:t>
      </w:r>
      <w:r w:rsidR="003E0B49">
        <w:t xml:space="preserve"> </w:t>
      </w:r>
    </w:p>
    <w:p w14:paraId="7FFC1B5E" w14:textId="77777777" w:rsidR="00685A7C" w:rsidRDefault="003E0B49" w:rsidP="00037579">
      <w:r>
        <w:t xml:space="preserve">Nous avons donc besoin de plus de détails pour analyser l’évolution des prix des prestations de service </w:t>
      </w:r>
      <w:r w:rsidR="00037579">
        <w:t>appelés</w:t>
      </w:r>
      <w:r>
        <w:t xml:space="preserve"> TJM (Taux Journalier Moyen)</w:t>
      </w:r>
      <w:r w:rsidR="00037579">
        <w:t>.</w:t>
      </w:r>
      <w:r>
        <w:t xml:space="preserve"> </w:t>
      </w:r>
    </w:p>
    <w:p w14:paraId="7FFC1B5F" w14:textId="77777777" w:rsidR="009C3587" w:rsidRDefault="009C3587" w:rsidP="00595D47">
      <w:r w:rsidRPr="009C3587">
        <w:rPr>
          <w:noProof/>
        </w:rPr>
        <w:drawing>
          <wp:inline distT="0" distB="0" distL="0" distR="0" wp14:anchorId="7FFC1E27" wp14:editId="7FFC1E28">
            <wp:extent cx="9251950" cy="1825158"/>
            <wp:effectExtent l="19050" t="0" r="635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9251950" cy="1825158"/>
                    </a:xfrm>
                    <a:prstGeom prst="rect">
                      <a:avLst/>
                    </a:prstGeom>
                    <a:noFill/>
                    <a:ln w="9525">
                      <a:noFill/>
                      <a:miter lim="800000"/>
                      <a:headEnd/>
                      <a:tailEnd/>
                    </a:ln>
                  </pic:spPr>
                </pic:pic>
              </a:graphicData>
            </a:graphic>
          </wp:inline>
        </w:drawing>
      </w:r>
    </w:p>
    <w:p w14:paraId="7FFC1B60" w14:textId="77777777" w:rsidR="009C3587" w:rsidRDefault="00E9186F" w:rsidP="00037579">
      <w:r>
        <w:t>L’étude 2015 de l’observatoire des prix de PAC</w:t>
      </w:r>
      <w:r w:rsidR="00037579">
        <w:t xml:space="preserve">, dont la partie liée à notre secteur est résumé dans le tableau ci-dessus, </w:t>
      </w:r>
      <w:r>
        <w:t xml:space="preserve">nous a permis d’analyser de plus près l’évolution des prix des prestations de service de conseil entre 2014 et 2015 mais nous n’avons pas des informations sur une plus longue période. Les TJM ont augmenté de 1,6% en moyenne entre 2014 et 2015. </w:t>
      </w:r>
      <w:r w:rsidR="00685A7C">
        <w:t>Cette</w:t>
      </w:r>
      <w:r>
        <w:t xml:space="preserve"> évolution s’explique par le contexte favorable de digitalisation de l’économie. En effet, les clients n’ont pas les compétences nécessaires en interne. De plus, ce marché en croissance favoris les prestations de conseil qui sont en amont de la chaine de valeur des services IT. </w:t>
      </w:r>
    </w:p>
    <w:p w14:paraId="7FFC1B61" w14:textId="77777777" w:rsidR="009C3587" w:rsidRDefault="009C3587" w:rsidP="00595D47"/>
    <w:p w14:paraId="7FFC1B62" w14:textId="35F8CC68" w:rsidR="009C3587" w:rsidRPr="00595D47" w:rsidRDefault="00E51A1C" w:rsidP="00C739C3">
      <w:r>
        <w:rPr>
          <w:noProof/>
        </w:rPr>
        <w:lastRenderedPageBreak/>
        <mc:AlternateContent>
          <mc:Choice Requires="wps">
            <w:drawing>
              <wp:anchor distT="0" distB="0" distL="114300" distR="114300" simplePos="0" relativeHeight="251658752" behindDoc="0" locked="0" layoutInCell="1" allowOverlap="1" wp14:anchorId="7FFC1E29" wp14:editId="6EFB33A2">
                <wp:simplePos x="0" y="0"/>
                <wp:positionH relativeFrom="column">
                  <wp:posOffset>52705</wp:posOffset>
                </wp:positionH>
                <wp:positionV relativeFrom="paragraph">
                  <wp:posOffset>5727700</wp:posOffset>
                </wp:positionV>
                <wp:extent cx="8726805" cy="298450"/>
                <wp:effectExtent l="1270" t="4445" r="0" b="1905"/>
                <wp:wrapTight wrapText="bothSides">
                  <wp:wrapPolygon edited="0">
                    <wp:start x="-20" y="0"/>
                    <wp:lineTo x="-20" y="20957"/>
                    <wp:lineTo x="21600" y="20957"/>
                    <wp:lineTo x="21600" y="0"/>
                    <wp:lineTo x="-20" y="0"/>
                  </wp:wrapPolygon>
                </wp:wrapTight>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680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8" w14:textId="77777777" w:rsidR="00CB4331" w:rsidRPr="006E2949" w:rsidRDefault="00CB4331" w:rsidP="009C3587">
                            <w:pPr>
                              <w:pStyle w:val="Caption"/>
                              <w:rPr>
                                <w:noProof/>
                              </w:rPr>
                            </w:pPr>
                            <w:r>
                              <w:t xml:space="preserve">Graphique  </w:t>
                            </w:r>
                            <w:fldSimple w:instr=" SEQ Graphique_ \* ARABIC ">
                              <w:r>
                                <w:rPr>
                                  <w:noProof/>
                                </w:rPr>
                                <w:t>6</w:t>
                              </w:r>
                            </w:fldSimple>
                            <w:r>
                              <w:t xml:space="preserve"> : Agrégation des indices de prix des secteurs 6202A et 6202B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29" id="Text Box 3" o:spid="_x0000_s1030" type="#_x0000_t202" style="position:absolute;left:0;text-align:left;margin-left:4.15pt;margin-top:451pt;width:687.1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nfQ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" stroked="f">
                <v:textbox style="mso-fit-shape-to-text:t" inset="0,0,0,0">
                  <w:txbxContent>
                    <w:p w14:paraId="7FFC1E88" w14:textId="77777777" w:rsidR="00CB4331" w:rsidRPr="006E2949" w:rsidRDefault="00CB4331" w:rsidP="009C3587">
                      <w:pPr>
                        <w:pStyle w:val="Caption"/>
                        <w:rPr>
                          <w:noProof/>
                        </w:rPr>
                      </w:pPr>
                      <w:r>
                        <w:t xml:space="preserve">Graphique  </w:t>
                      </w:r>
                      <w:fldSimple w:instr=" SEQ Graphique_ \* ARABIC ">
                        <w:r>
                          <w:rPr>
                            <w:noProof/>
                          </w:rPr>
                          <w:t>6</w:t>
                        </w:r>
                      </w:fldSimple>
                      <w:r>
                        <w:t xml:space="preserve"> : Agrégation des indices de prix des secteurs 6202A et 6202B</w:t>
                      </w:r>
                    </w:p>
                  </w:txbxContent>
                </v:textbox>
                <w10:wrap type="tight"/>
              </v:shape>
            </w:pict>
          </mc:Fallback>
        </mc:AlternateContent>
      </w:r>
      <w:r w:rsidR="003949AC">
        <w:rPr>
          <w:noProof/>
        </w:rPr>
        <w:drawing>
          <wp:anchor distT="0" distB="0" distL="114300" distR="114300" simplePos="0" relativeHeight="251601920" behindDoc="1" locked="0" layoutInCell="1" allowOverlap="1" wp14:anchorId="7FFC1E2A" wp14:editId="7FFC1E2B">
            <wp:simplePos x="0" y="0"/>
            <wp:positionH relativeFrom="column">
              <wp:posOffset>26670</wp:posOffset>
            </wp:positionH>
            <wp:positionV relativeFrom="paragraph">
              <wp:posOffset>-372110</wp:posOffset>
            </wp:positionV>
            <wp:extent cx="9205595" cy="6036310"/>
            <wp:effectExtent l="19050" t="0" r="0" b="0"/>
            <wp:wrapTight wrapText="bothSides">
              <wp:wrapPolygon edited="0">
                <wp:start x="-45" y="0"/>
                <wp:lineTo x="-45" y="21541"/>
                <wp:lineTo x="21590" y="21541"/>
                <wp:lineTo x="21590" y="0"/>
                <wp:lineTo x="-45"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9205595" cy="6036310"/>
                    </a:xfrm>
                    <a:prstGeom prst="rect">
                      <a:avLst/>
                    </a:prstGeom>
                    <a:noFill/>
                    <a:ln w="9525">
                      <a:noFill/>
                      <a:miter lim="800000"/>
                      <a:headEnd/>
                      <a:tailEnd/>
                    </a:ln>
                  </pic:spPr>
                </pic:pic>
              </a:graphicData>
            </a:graphic>
          </wp:anchor>
        </w:drawing>
      </w:r>
    </w:p>
    <w:p w14:paraId="7FFC1B63" w14:textId="77777777" w:rsidR="00FC4333" w:rsidRDefault="00FC4333" w:rsidP="00FC4333">
      <w:pPr>
        <w:pStyle w:val="Heading1"/>
      </w:pPr>
      <w:bookmarkStart w:id="38" w:name="_Ref451797590"/>
      <w:bookmarkStart w:id="39" w:name="_Toc454465569"/>
      <w:r>
        <w:lastRenderedPageBreak/>
        <w:t>Place du secteur dans l’économie</w:t>
      </w:r>
      <w:bookmarkEnd w:id="38"/>
      <w:bookmarkEnd w:id="39"/>
      <w:r>
        <w:t xml:space="preserve"> </w:t>
      </w:r>
    </w:p>
    <w:tbl>
      <w:tblPr>
        <w:tblW w:w="14220" w:type="dxa"/>
        <w:tblInd w:w="70" w:type="dxa"/>
        <w:tblCellMar>
          <w:left w:w="70" w:type="dxa"/>
          <w:right w:w="70" w:type="dxa"/>
        </w:tblCellMar>
        <w:tblLook w:val="04A0" w:firstRow="1" w:lastRow="0" w:firstColumn="1" w:lastColumn="0" w:noHBand="0" w:noVBand="1"/>
      </w:tblPr>
      <w:tblGrid>
        <w:gridCol w:w="3000"/>
        <w:gridCol w:w="1020"/>
        <w:gridCol w:w="1020"/>
        <w:gridCol w:w="1020"/>
        <w:gridCol w:w="1020"/>
        <w:gridCol w:w="1020"/>
        <w:gridCol w:w="1020"/>
        <w:gridCol w:w="1020"/>
        <w:gridCol w:w="1020"/>
        <w:gridCol w:w="1020"/>
        <w:gridCol w:w="1020"/>
        <w:gridCol w:w="1020"/>
      </w:tblGrid>
      <w:tr w:rsidR="00190A3C" w:rsidRPr="00190A3C" w14:paraId="7FFC1B70" w14:textId="77777777" w:rsidTr="00190A3C">
        <w:trPr>
          <w:trHeight w:val="510"/>
        </w:trPr>
        <w:tc>
          <w:tcPr>
            <w:tcW w:w="3000" w:type="dxa"/>
            <w:tcBorders>
              <w:top w:val="nil"/>
              <w:left w:val="nil"/>
              <w:bottom w:val="nil"/>
              <w:right w:val="nil"/>
            </w:tcBorders>
            <w:shd w:val="clear" w:color="auto" w:fill="auto"/>
            <w:vAlign w:val="center"/>
            <w:hideMark/>
          </w:tcPr>
          <w:p w14:paraId="7FFC1B64" w14:textId="77777777" w:rsidR="00190A3C" w:rsidRPr="00190A3C" w:rsidRDefault="00190A3C" w:rsidP="00190A3C">
            <w:pPr>
              <w:spacing w:before="0" w:after="0"/>
              <w:ind w:left="0"/>
              <w:jc w:val="left"/>
              <w:rPr>
                <w:rFonts w:ascii="Times New Roman" w:hAnsi="Times New Roman" w:cs="Times New Roman"/>
                <w:sz w:val="20"/>
                <w:szCs w:val="24"/>
              </w:rPr>
            </w:pPr>
          </w:p>
        </w:tc>
        <w:tc>
          <w:tcPr>
            <w:tcW w:w="1020" w:type="dxa"/>
            <w:tcBorders>
              <w:top w:val="nil"/>
              <w:left w:val="nil"/>
              <w:bottom w:val="nil"/>
              <w:right w:val="nil"/>
            </w:tcBorders>
            <w:shd w:val="clear" w:color="auto" w:fill="auto"/>
            <w:vAlign w:val="center"/>
            <w:hideMark/>
          </w:tcPr>
          <w:p w14:paraId="7FFC1B65" w14:textId="77777777" w:rsidR="00190A3C" w:rsidRPr="00190A3C" w:rsidRDefault="00190A3C" w:rsidP="00190A3C">
            <w:pPr>
              <w:spacing w:before="0" w:after="0"/>
              <w:ind w:left="0"/>
              <w:jc w:val="left"/>
              <w:rPr>
                <w:rFonts w:ascii="Times New Roman" w:hAnsi="Times New Roman" w:cs="Times New Roman"/>
                <w:sz w:val="20"/>
              </w:rPr>
            </w:pPr>
          </w:p>
        </w:tc>
        <w:tc>
          <w:tcPr>
            <w:tcW w:w="1020"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7FFC1B66" w14:textId="77777777" w:rsidR="00190A3C" w:rsidRPr="00190A3C" w:rsidRDefault="00190A3C" w:rsidP="00190A3C">
            <w:pPr>
              <w:spacing w:before="0" w:after="0"/>
              <w:ind w:left="0"/>
              <w:jc w:val="center"/>
              <w:rPr>
                <w:color w:val="000000"/>
                <w:sz w:val="20"/>
              </w:rPr>
            </w:pPr>
            <w:r w:rsidRPr="00190A3C">
              <w:rPr>
                <w:color w:val="000000"/>
                <w:sz w:val="20"/>
              </w:rPr>
              <w:t>Unités légales</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7" w14:textId="77777777" w:rsidR="00190A3C" w:rsidRPr="00190A3C" w:rsidRDefault="00190A3C" w:rsidP="00190A3C">
            <w:pPr>
              <w:spacing w:before="0" w:after="0"/>
              <w:ind w:left="0"/>
              <w:jc w:val="center"/>
              <w:rPr>
                <w:color w:val="000000"/>
                <w:sz w:val="20"/>
              </w:rPr>
            </w:pPr>
            <w:r w:rsidRPr="00190A3C">
              <w:rPr>
                <w:color w:val="000000"/>
                <w:sz w:val="20"/>
              </w:rPr>
              <w:t>Effectifs (ETP)</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8" w14:textId="77777777" w:rsidR="00190A3C" w:rsidRPr="00190A3C" w:rsidRDefault="00190A3C" w:rsidP="00190A3C">
            <w:pPr>
              <w:spacing w:before="0" w:after="0"/>
              <w:ind w:left="0"/>
              <w:jc w:val="center"/>
              <w:rPr>
                <w:color w:val="000000"/>
                <w:sz w:val="20"/>
              </w:rPr>
            </w:pPr>
            <w:r w:rsidRPr="00190A3C">
              <w:rPr>
                <w:color w:val="000000"/>
                <w:sz w:val="20"/>
              </w:rPr>
              <w:t>CA. (HT)</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9" w14:textId="77777777" w:rsidR="00190A3C" w:rsidRPr="00190A3C" w:rsidRDefault="00190A3C" w:rsidP="00190A3C">
            <w:pPr>
              <w:spacing w:before="0" w:after="0"/>
              <w:ind w:left="0"/>
              <w:jc w:val="center"/>
              <w:rPr>
                <w:color w:val="000000"/>
                <w:sz w:val="20"/>
              </w:rPr>
            </w:pPr>
            <w:r w:rsidRPr="00190A3C">
              <w:rPr>
                <w:color w:val="000000"/>
                <w:sz w:val="20"/>
              </w:rPr>
              <w:t>Export.</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A" w14:textId="77777777" w:rsidR="00190A3C" w:rsidRPr="00190A3C" w:rsidRDefault="00190A3C" w:rsidP="00190A3C">
            <w:pPr>
              <w:spacing w:before="0" w:after="0"/>
              <w:ind w:left="0"/>
              <w:jc w:val="center"/>
              <w:rPr>
                <w:color w:val="000000"/>
                <w:sz w:val="20"/>
              </w:rPr>
            </w:pPr>
            <w:r w:rsidRPr="00190A3C">
              <w:rPr>
                <w:color w:val="000000"/>
                <w:sz w:val="20"/>
              </w:rPr>
              <w:t>Valeur ajoutée</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B" w14:textId="77777777" w:rsidR="00190A3C" w:rsidRPr="00190A3C" w:rsidRDefault="00190A3C" w:rsidP="00190A3C">
            <w:pPr>
              <w:spacing w:before="0" w:after="0"/>
              <w:ind w:left="0"/>
              <w:jc w:val="center"/>
              <w:rPr>
                <w:color w:val="000000"/>
                <w:sz w:val="20"/>
              </w:rPr>
            </w:pPr>
            <w:r w:rsidRPr="00190A3C">
              <w:rPr>
                <w:color w:val="000000"/>
                <w:sz w:val="20"/>
              </w:rPr>
              <w:t>Frais de personnel</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C" w14:textId="77777777" w:rsidR="00190A3C" w:rsidRPr="00190A3C" w:rsidRDefault="00190A3C" w:rsidP="00190A3C">
            <w:pPr>
              <w:spacing w:before="0" w:after="0"/>
              <w:ind w:left="0"/>
              <w:jc w:val="center"/>
              <w:rPr>
                <w:color w:val="000000"/>
                <w:sz w:val="20"/>
              </w:rPr>
            </w:pPr>
            <w:r w:rsidRPr="00190A3C">
              <w:rPr>
                <w:color w:val="000000"/>
                <w:sz w:val="20"/>
              </w:rPr>
              <w:t>EBE</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D" w14:textId="77777777" w:rsidR="00190A3C" w:rsidRPr="00190A3C" w:rsidRDefault="00190A3C" w:rsidP="00190A3C">
            <w:pPr>
              <w:spacing w:before="0" w:after="0"/>
              <w:ind w:left="0"/>
              <w:jc w:val="center"/>
              <w:rPr>
                <w:color w:val="000000"/>
                <w:sz w:val="20"/>
              </w:rPr>
            </w:pPr>
            <w:r w:rsidRPr="00190A3C">
              <w:rPr>
                <w:color w:val="000000"/>
                <w:sz w:val="20"/>
              </w:rPr>
              <w:t>CAF</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14:paraId="7FFC1B6E" w14:textId="77777777" w:rsidR="00190A3C" w:rsidRPr="00190A3C" w:rsidRDefault="00190A3C" w:rsidP="00190A3C">
            <w:pPr>
              <w:spacing w:before="0" w:after="0"/>
              <w:ind w:left="0"/>
              <w:jc w:val="center"/>
              <w:rPr>
                <w:color w:val="000000"/>
                <w:sz w:val="20"/>
              </w:rPr>
            </w:pPr>
            <w:r w:rsidRPr="00190A3C">
              <w:rPr>
                <w:color w:val="000000"/>
                <w:sz w:val="20"/>
              </w:rPr>
              <w:t>RCAI</w:t>
            </w:r>
          </w:p>
        </w:tc>
        <w:tc>
          <w:tcPr>
            <w:tcW w:w="1020" w:type="dxa"/>
            <w:tcBorders>
              <w:top w:val="single" w:sz="8" w:space="0" w:color="auto"/>
              <w:left w:val="nil"/>
              <w:bottom w:val="single" w:sz="4" w:space="0" w:color="auto"/>
              <w:right w:val="single" w:sz="8" w:space="0" w:color="auto"/>
            </w:tcBorders>
            <w:shd w:val="clear" w:color="000000" w:fill="F2F2F2"/>
            <w:vAlign w:val="center"/>
            <w:hideMark/>
          </w:tcPr>
          <w:p w14:paraId="7FFC1B6F" w14:textId="77777777" w:rsidR="00190A3C" w:rsidRPr="00190A3C" w:rsidRDefault="00190A3C" w:rsidP="00190A3C">
            <w:pPr>
              <w:spacing w:before="0" w:after="0"/>
              <w:ind w:left="0"/>
              <w:jc w:val="center"/>
              <w:rPr>
                <w:color w:val="000000"/>
                <w:sz w:val="20"/>
              </w:rPr>
            </w:pPr>
            <w:r w:rsidRPr="00190A3C">
              <w:rPr>
                <w:color w:val="000000"/>
                <w:sz w:val="20"/>
              </w:rPr>
              <w:t>RN</w:t>
            </w:r>
          </w:p>
        </w:tc>
      </w:tr>
      <w:tr w:rsidR="00190A3C" w:rsidRPr="00190A3C" w14:paraId="7FFC1B7D" w14:textId="77777777" w:rsidTr="00190A3C">
        <w:trPr>
          <w:trHeight w:val="270"/>
        </w:trPr>
        <w:tc>
          <w:tcPr>
            <w:tcW w:w="3000" w:type="dxa"/>
            <w:tcBorders>
              <w:top w:val="nil"/>
              <w:left w:val="nil"/>
              <w:bottom w:val="nil"/>
              <w:right w:val="nil"/>
            </w:tcBorders>
            <w:shd w:val="clear" w:color="auto" w:fill="auto"/>
            <w:vAlign w:val="center"/>
            <w:hideMark/>
          </w:tcPr>
          <w:p w14:paraId="7FFC1B71" w14:textId="77777777" w:rsidR="00190A3C" w:rsidRPr="00190A3C" w:rsidRDefault="00190A3C" w:rsidP="00190A3C">
            <w:pPr>
              <w:spacing w:before="0" w:after="0"/>
              <w:ind w:left="0"/>
              <w:jc w:val="center"/>
              <w:rPr>
                <w:color w:val="000000"/>
                <w:sz w:val="20"/>
              </w:rPr>
            </w:pPr>
          </w:p>
        </w:tc>
        <w:tc>
          <w:tcPr>
            <w:tcW w:w="1020" w:type="dxa"/>
            <w:tcBorders>
              <w:top w:val="single" w:sz="4" w:space="0" w:color="auto"/>
              <w:left w:val="single" w:sz="4" w:space="0" w:color="auto"/>
              <w:bottom w:val="nil"/>
              <w:right w:val="nil"/>
            </w:tcBorders>
            <w:shd w:val="clear" w:color="auto" w:fill="auto"/>
            <w:vAlign w:val="center"/>
            <w:hideMark/>
          </w:tcPr>
          <w:p w14:paraId="7FFC1B72" w14:textId="77777777" w:rsidR="00190A3C" w:rsidRPr="00190A3C" w:rsidRDefault="00190A3C" w:rsidP="00190A3C">
            <w:pPr>
              <w:spacing w:before="0" w:after="0"/>
              <w:ind w:left="0"/>
              <w:jc w:val="center"/>
              <w:rPr>
                <w:color w:val="000000"/>
                <w:sz w:val="20"/>
              </w:rPr>
            </w:pPr>
            <w:r w:rsidRPr="00190A3C">
              <w:rPr>
                <w:color w:val="000000"/>
                <w:sz w:val="20"/>
              </w:rPr>
              <w:t>Unité</w:t>
            </w:r>
          </w:p>
        </w:tc>
        <w:tc>
          <w:tcPr>
            <w:tcW w:w="1020" w:type="dxa"/>
            <w:tcBorders>
              <w:top w:val="nil"/>
              <w:left w:val="single" w:sz="8" w:space="0" w:color="auto"/>
              <w:bottom w:val="single" w:sz="8" w:space="0" w:color="auto"/>
              <w:right w:val="single" w:sz="4" w:space="0" w:color="auto"/>
            </w:tcBorders>
            <w:shd w:val="clear" w:color="000000" w:fill="F2F2F2"/>
            <w:vAlign w:val="center"/>
            <w:hideMark/>
          </w:tcPr>
          <w:p w14:paraId="7FFC1B73" w14:textId="77777777" w:rsidR="00190A3C" w:rsidRPr="00190A3C" w:rsidRDefault="00190A3C" w:rsidP="00190A3C">
            <w:pPr>
              <w:spacing w:before="0" w:after="0"/>
              <w:ind w:left="0"/>
              <w:jc w:val="center"/>
              <w:rPr>
                <w:color w:val="000000"/>
                <w:sz w:val="20"/>
              </w:rPr>
            </w:pPr>
            <w:r w:rsidRPr="00190A3C">
              <w:rPr>
                <w:color w:val="000000"/>
                <w:sz w:val="20"/>
              </w:rPr>
              <w:t>Nombre</w:t>
            </w:r>
          </w:p>
        </w:tc>
        <w:tc>
          <w:tcPr>
            <w:tcW w:w="1020" w:type="dxa"/>
            <w:tcBorders>
              <w:top w:val="nil"/>
              <w:left w:val="nil"/>
              <w:bottom w:val="single" w:sz="8" w:space="0" w:color="auto"/>
              <w:right w:val="single" w:sz="4" w:space="0" w:color="auto"/>
            </w:tcBorders>
            <w:shd w:val="clear" w:color="000000" w:fill="F2F2F2"/>
            <w:vAlign w:val="center"/>
            <w:hideMark/>
          </w:tcPr>
          <w:p w14:paraId="7FFC1B74" w14:textId="77777777" w:rsidR="00190A3C" w:rsidRPr="00190A3C" w:rsidRDefault="00190A3C" w:rsidP="00190A3C">
            <w:pPr>
              <w:spacing w:before="0" w:after="0"/>
              <w:ind w:left="0"/>
              <w:jc w:val="center"/>
              <w:rPr>
                <w:color w:val="000000"/>
                <w:sz w:val="20"/>
              </w:rPr>
            </w:pPr>
            <w:r w:rsidRPr="00190A3C">
              <w:rPr>
                <w:color w:val="000000"/>
                <w:sz w:val="20"/>
              </w:rPr>
              <w:t>ETP</w:t>
            </w:r>
          </w:p>
        </w:tc>
        <w:tc>
          <w:tcPr>
            <w:tcW w:w="1020" w:type="dxa"/>
            <w:tcBorders>
              <w:top w:val="nil"/>
              <w:left w:val="nil"/>
              <w:bottom w:val="single" w:sz="8" w:space="0" w:color="auto"/>
              <w:right w:val="single" w:sz="4" w:space="0" w:color="auto"/>
            </w:tcBorders>
            <w:shd w:val="clear" w:color="000000" w:fill="F2F2F2"/>
            <w:vAlign w:val="center"/>
            <w:hideMark/>
          </w:tcPr>
          <w:p w14:paraId="7FFC1B75" w14:textId="77777777"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14:paraId="7FFC1B76" w14:textId="77777777"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14:paraId="7FFC1B77" w14:textId="77777777"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14:paraId="7FFC1B78" w14:textId="77777777"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14:paraId="7FFC1B79" w14:textId="77777777"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14:paraId="7FFC1B7A" w14:textId="77777777"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14:paraId="7FFC1B7B" w14:textId="77777777"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8" w:space="0" w:color="auto"/>
            </w:tcBorders>
            <w:shd w:val="clear" w:color="000000" w:fill="F2F2F2"/>
            <w:vAlign w:val="center"/>
            <w:hideMark/>
          </w:tcPr>
          <w:p w14:paraId="7FFC1B7C" w14:textId="77777777" w:rsidR="00190A3C" w:rsidRPr="00190A3C" w:rsidRDefault="00190A3C" w:rsidP="00190A3C">
            <w:pPr>
              <w:spacing w:before="0" w:after="0"/>
              <w:ind w:left="0"/>
              <w:jc w:val="center"/>
              <w:rPr>
                <w:color w:val="000000"/>
                <w:sz w:val="20"/>
              </w:rPr>
            </w:pPr>
            <w:r w:rsidRPr="00190A3C">
              <w:rPr>
                <w:color w:val="000000"/>
                <w:sz w:val="20"/>
              </w:rPr>
              <w:t>Million €</w:t>
            </w:r>
          </w:p>
        </w:tc>
      </w:tr>
      <w:tr w:rsidR="00190A3C" w:rsidRPr="00190A3C" w14:paraId="7FFC1B8A" w14:textId="77777777" w:rsidTr="00190A3C">
        <w:trPr>
          <w:trHeight w:val="450"/>
        </w:trPr>
        <w:tc>
          <w:tcPr>
            <w:tcW w:w="3000" w:type="dxa"/>
            <w:vMerge w:val="restart"/>
            <w:tcBorders>
              <w:top w:val="single" w:sz="8" w:space="0" w:color="auto"/>
              <w:left w:val="single" w:sz="8" w:space="0" w:color="auto"/>
              <w:bottom w:val="single" w:sz="8" w:space="0" w:color="000000"/>
              <w:right w:val="nil"/>
            </w:tcBorders>
            <w:shd w:val="clear" w:color="000000" w:fill="F2F2F2"/>
            <w:vAlign w:val="center"/>
            <w:hideMark/>
          </w:tcPr>
          <w:p w14:paraId="7FFC1B7E" w14:textId="77777777" w:rsidR="00190A3C" w:rsidRPr="00190A3C" w:rsidRDefault="00190A3C" w:rsidP="00190A3C">
            <w:pPr>
              <w:spacing w:before="0" w:after="0"/>
              <w:ind w:left="0"/>
              <w:jc w:val="left"/>
              <w:rPr>
                <w:color w:val="000000"/>
                <w:sz w:val="20"/>
              </w:rPr>
            </w:pPr>
            <w:r w:rsidRPr="00190A3C">
              <w:rPr>
                <w:color w:val="000000"/>
                <w:sz w:val="20"/>
              </w:rPr>
              <w:t xml:space="preserve">Section J : </w:t>
            </w:r>
            <w:r w:rsidRPr="00190A3C">
              <w:rPr>
                <w:color w:val="000000"/>
                <w:sz w:val="20"/>
              </w:rPr>
              <w:br/>
              <w:t>Information et communication</w:t>
            </w:r>
          </w:p>
        </w:tc>
        <w:tc>
          <w:tcPr>
            <w:tcW w:w="1020" w:type="dxa"/>
            <w:tcBorders>
              <w:top w:val="single" w:sz="8" w:space="0" w:color="auto"/>
              <w:left w:val="single" w:sz="4" w:space="0" w:color="auto"/>
              <w:bottom w:val="single" w:sz="4" w:space="0" w:color="auto"/>
              <w:right w:val="single" w:sz="8" w:space="0" w:color="auto"/>
            </w:tcBorders>
            <w:shd w:val="clear" w:color="000000" w:fill="F2F2F2"/>
            <w:vAlign w:val="center"/>
            <w:hideMark/>
          </w:tcPr>
          <w:p w14:paraId="7FFC1B7F" w14:textId="77777777"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14:paraId="7FFC1B80" w14:textId="77777777" w:rsidR="00190A3C" w:rsidRPr="00190A3C" w:rsidRDefault="00190A3C" w:rsidP="00190A3C">
            <w:pPr>
              <w:spacing w:before="0" w:after="0"/>
              <w:ind w:left="0"/>
              <w:jc w:val="center"/>
              <w:rPr>
                <w:color w:val="000000"/>
                <w:sz w:val="20"/>
              </w:rPr>
            </w:pPr>
            <w:r w:rsidRPr="00190A3C">
              <w:rPr>
                <w:color w:val="000000"/>
                <w:sz w:val="20"/>
              </w:rPr>
              <w:t xml:space="preserve"> 138 131   </w:t>
            </w:r>
          </w:p>
        </w:tc>
        <w:tc>
          <w:tcPr>
            <w:tcW w:w="1020" w:type="dxa"/>
            <w:tcBorders>
              <w:top w:val="nil"/>
              <w:left w:val="nil"/>
              <w:bottom w:val="single" w:sz="4" w:space="0" w:color="auto"/>
              <w:right w:val="single" w:sz="4" w:space="0" w:color="auto"/>
            </w:tcBorders>
            <w:shd w:val="clear" w:color="auto" w:fill="auto"/>
            <w:vAlign w:val="center"/>
            <w:hideMark/>
          </w:tcPr>
          <w:p w14:paraId="7FFC1B81" w14:textId="77777777" w:rsidR="00190A3C" w:rsidRPr="00190A3C" w:rsidRDefault="00190A3C" w:rsidP="00190A3C">
            <w:pPr>
              <w:spacing w:before="0" w:after="0"/>
              <w:ind w:left="0"/>
              <w:jc w:val="center"/>
              <w:rPr>
                <w:color w:val="000000"/>
                <w:sz w:val="20"/>
              </w:rPr>
            </w:pPr>
            <w:r w:rsidRPr="00190A3C">
              <w:rPr>
                <w:color w:val="000000"/>
                <w:sz w:val="20"/>
              </w:rPr>
              <w:t xml:space="preserve"> 666 888   </w:t>
            </w:r>
          </w:p>
        </w:tc>
        <w:tc>
          <w:tcPr>
            <w:tcW w:w="1020" w:type="dxa"/>
            <w:tcBorders>
              <w:top w:val="nil"/>
              <w:left w:val="nil"/>
              <w:bottom w:val="single" w:sz="4" w:space="0" w:color="auto"/>
              <w:right w:val="single" w:sz="4" w:space="0" w:color="auto"/>
            </w:tcBorders>
            <w:shd w:val="clear" w:color="auto" w:fill="auto"/>
            <w:vAlign w:val="center"/>
            <w:hideMark/>
          </w:tcPr>
          <w:p w14:paraId="7FFC1B82" w14:textId="77777777" w:rsidR="00190A3C" w:rsidRPr="00190A3C" w:rsidRDefault="00190A3C" w:rsidP="00190A3C">
            <w:pPr>
              <w:spacing w:before="0" w:after="0"/>
              <w:ind w:left="0"/>
              <w:jc w:val="center"/>
              <w:rPr>
                <w:color w:val="000000"/>
                <w:sz w:val="20"/>
              </w:rPr>
            </w:pPr>
            <w:r w:rsidRPr="00190A3C">
              <w:rPr>
                <w:color w:val="000000"/>
                <w:sz w:val="20"/>
              </w:rPr>
              <w:t xml:space="preserve"> 172 985   </w:t>
            </w:r>
          </w:p>
        </w:tc>
        <w:tc>
          <w:tcPr>
            <w:tcW w:w="1020" w:type="dxa"/>
            <w:tcBorders>
              <w:top w:val="nil"/>
              <w:left w:val="nil"/>
              <w:bottom w:val="single" w:sz="4" w:space="0" w:color="auto"/>
              <w:right w:val="single" w:sz="4" w:space="0" w:color="auto"/>
            </w:tcBorders>
            <w:shd w:val="clear" w:color="auto" w:fill="auto"/>
            <w:vAlign w:val="center"/>
            <w:hideMark/>
          </w:tcPr>
          <w:p w14:paraId="7FFC1B83" w14:textId="77777777" w:rsidR="00190A3C" w:rsidRPr="00190A3C" w:rsidRDefault="00190A3C" w:rsidP="00190A3C">
            <w:pPr>
              <w:spacing w:before="0" w:after="0"/>
              <w:ind w:left="0"/>
              <w:jc w:val="center"/>
              <w:rPr>
                <w:color w:val="000000"/>
                <w:sz w:val="20"/>
              </w:rPr>
            </w:pPr>
            <w:r w:rsidRPr="00190A3C">
              <w:rPr>
                <w:color w:val="000000"/>
                <w:sz w:val="20"/>
              </w:rPr>
              <w:t xml:space="preserve">   19 835   </w:t>
            </w:r>
          </w:p>
        </w:tc>
        <w:tc>
          <w:tcPr>
            <w:tcW w:w="1020" w:type="dxa"/>
            <w:tcBorders>
              <w:top w:val="nil"/>
              <w:left w:val="nil"/>
              <w:bottom w:val="single" w:sz="4" w:space="0" w:color="auto"/>
              <w:right w:val="single" w:sz="4" w:space="0" w:color="auto"/>
            </w:tcBorders>
            <w:shd w:val="clear" w:color="auto" w:fill="auto"/>
            <w:vAlign w:val="center"/>
            <w:hideMark/>
          </w:tcPr>
          <w:p w14:paraId="7FFC1B84" w14:textId="77777777" w:rsidR="00190A3C" w:rsidRPr="00190A3C" w:rsidRDefault="00190A3C" w:rsidP="00190A3C">
            <w:pPr>
              <w:spacing w:before="0" w:after="0"/>
              <w:ind w:left="0"/>
              <w:jc w:val="center"/>
              <w:rPr>
                <w:color w:val="000000"/>
                <w:sz w:val="20"/>
              </w:rPr>
            </w:pPr>
            <w:r w:rsidRPr="00190A3C">
              <w:rPr>
                <w:color w:val="000000"/>
                <w:sz w:val="20"/>
              </w:rPr>
              <w:t xml:space="preserve">   79 374   </w:t>
            </w:r>
          </w:p>
        </w:tc>
        <w:tc>
          <w:tcPr>
            <w:tcW w:w="1020" w:type="dxa"/>
            <w:tcBorders>
              <w:top w:val="nil"/>
              <w:left w:val="nil"/>
              <w:bottom w:val="single" w:sz="4" w:space="0" w:color="auto"/>
              <w:right w:val="nil"/>
            </w:tcBorders>
            <w:shd w:val="clear" w:color="auto" w:fill="auto"/>
            <w:vAlign w:val="center"/>
            <w:hideMark/>
          </w:tcPr>
          <w:p w14:paraId="7FFC1B85" w14:textId="77777777" w:rsidR="00190A3C" w:rsidRPr="00190A3C" w:rsidRDefault="00190A3C" w:rsidP="00190A3C">
            <w:pPr>
              <w:spacing w:before="0" w:after="0"/>
              <w:ind w:left="0"/>
              <w:jc w:val="center"/>
              <w:rPr>
                <w:color w:val="000000"/>
                <w:sz w:val="20"/>
              </w:rPr>
            </w:pPr>
            <w:r w:rsidRPr="00190A3C">
              <w:rPr>
                <w:color w:val="000000"/>
                <w:sz w:val="20"/>
              </w:rPr>
              <w:t xml:space="preserve">   50 654   </w:t>
            </w:r>
          </w:p>
        </w:tc>
        <w:tc>
          <w:tcPr>
            <w:tcW w:w="1020" w:type="dxa"/>
            <w:tcBorders>
              <w:top w:val="nil"/>
              <w:left w:val="single" w:sz="4" w:space="0" w:color="auto"/>
              <w:bottom w:val="single" w:sz="4" w:space="0" w:color="auto"/>
              <w:right w:val="nil"/>
            </w:tcBorders>
            <w:shd w:val="clear" w:color="auto" w:fill="auto"/>
            <w:vAlign w:val="center"/>
            <w:hideMark/>
          </w:tcPr>
          <w:p w14:paraId="7FFC1B86" w14:textId="77777777" w:rsidR="00190A3C" w:rsidRPr="00190A3C" w:rsidRDefault="00190A3C" w:rsidP="00190A3C">
            <w:pPr>
              <w:spacing w:before="0" w:after="0"/>
              <w:ind w:left="0"/>
              <w:jc w:val="center"/>
              <w:rPr>
                <w:color w:val="000000"/>
                <w:sz w:val="20"/>
              </w:rPr>
            </w:pPr>
            <w:r w:rsidRPr="00190A3C">
              <w:rPr>
                <w:color w:val="000000"/>
                <w:sz w:val="20"/>
              </w:rPr>
              <w:t xml:space="preserve">   25 273   </w:t>
            </w:r>
          </w:p>
        </w:tc>
        <w:tc>
          <w:tcPr>
            <w:tcW w:w="1020" w:type="dxa"/>
            <w:tcBorders>
              <w:top w:val="nil"/>
              <w:left w:val="single" w:sz="4" w:space="0" w:color="auto"/>
              <w:bottom w:val="single" w:sz="4" w:space="0" w:color="auto"/>
              <w:right w:val="nil"/>
            </w:tcBorders>
            <w:shd w:val="clear" w:color="auto" w:fill="auto"/>
            <w:vAlign w:val="center"/>
            <w:hideMark/>
          </w:tcPr>
          <w:p w14:paraId="7FFC1B87" w14:textId="77777777" w:rsidR="00190A3C" w:rsidRPr="00190A3C" w:rsidRDefault="00190A3C" w:rsidP="00190A3C">
            <w:pPr>
              <w:spacing w:before="0" w:after="0"/>
              <w:ind w:left="0"/>
              <w:jc w:val="center"/>
              <w:rPr>
                <w:color w:val="000000"/>
                <w:sz w:val="20"/>
              </w:rPr>
            </w:pPr>
            <w:r w:rsidRPr="00190A3C">
              <w:rPr>
                <w:color w:val="000000"/>
                <w:sz w:val="20"/>
              </w:rPr>
              <w:t xml:space="preserve">   22 724   </w:t>
            </w:r>
          </w:p>
        </w:tc>
        <w:tc>
          <w:tcPr>
            <w:tcW w:w="1020" w:type="dxa"/>
            <w:tcBorders>
              <w:top w:val="nil"/>
              <w:left w:val="single" w:sz="4" w:space="0" w:color="auto"/>
              <w:bottom w:val="single" w:sz="4" w:space="0" w:color="auto"/>
              <w:right w:val="nil"/>
            </w:tcBorders>
            <w:shd w:val="clear" w:color="auto" w:fill="auto"/>
            <w:vAlign w:val="center"/>
            <w:hideMark/>
          </w:tcPr>
          <w:p w14:paraId="7FFC1B88" w14:textId="77777777" w:rsidR="00190A3C" w:rsidRPr="00190A3C" w:rsidRDefault="00190A3C" w:rsidP="00190A3C">
            <w:pPr>
              <w:spacing w:before="0" w:after="0"/>
              <w:ind w:left="0"/>
              <w:jc w:val="center"/>
              <w:rPr>
                <w:color w:val="000000"/>
                <w:sz w:val="20"/>
              </w:rPr>
            </w:pPr>
            <w:r w:rsidRPr="00190A3C">
              <w:rPr>
                <w:color w:val="000000"/>
                <w:sz w:val="20"/>
              </w:rPr>
              <w:t xml:space="preserve">   10 785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7FFC1B89" w14:textId="77777777" w:rsidR="00190A3C" w:rsidRPr="00190A3C" w:rsidRDefault="00190A3C" w:rsidP="00190A3C">
            <w:pPr>
              <w:spacing w:before="0" w:after="0"/>
              <w:ind w:left="0"/>
              <w:jc w:val="center"/>
              <w:rPr>
                <w:color w:val="000000"/>
                <w:sz w:val="20"/>
              </w:rPr>
            </w:pPr>
            <w:r w:rsidRPr="00190A3C">
              <w:rPr>
                <w:color w:val="000000"/>
                <w:sz w:val="20"/>
              </w:rPr>
              <w:t xml:space="preserve">    5 242   </w:t>
            </w:r>
          </w:p>
        </w:tc>
      </w:tr>
      <w:tr w:rsidR="00190A3C" w:rsidRPr="00190A3C" w14:paraId="7FFC1B97" w14:textId="77777777" w:rsidTr="00190A3C">
        <w:trPr>
          <w:trHeight w:val="450"/>
        </w:trPr>
        <w:tc>
          <w:tcPr>
            <w:tcW w:w="3000" w:type="dxa"/>
            <w:vMerge/>
            <w:tcBorders>
              <w:top w:val="single" w:sz="8" w:space="0" w:color="auto"/>
              <w:left w:val="single" w:sz="8" w:space="0" w:color="auto"/>
              <w:bottom w:val="single" w:sz="8" w:space="0" w:color="000000"/>
              <w:right w:val="nil"/>
            </w:tcBorders>
            <w:vAlign w:val="center"/>
            <w:hideMark/>
          </w:tcPr>
          <w:p w14:paraId="7FFC1B8B" w14:textId="77777777"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14:paraId="7FFC1B8C" w14:textId="77777777"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14:paraId="7FFC1B8D" w14:textId="77777777" w:rsidR="00190A3C" w:rsidRPr="00190A3C" w:rsidRDefault="00190A3C" w:rsidP="00190A3C">
            <w:pPr>
              <w:spacing w:before="0" w:after="0"/>
              <w:ind w:left="0"/>
              <w:jc w:val="center"/>
              <w:rPr>
                <w:color w:val="000000"/>
                <w:sz w:val="20"/>
              </w:rPr>
            </w:pPr>
            <w:r w:rsidRPr="00190A3C">
              <w:rPr>
                <w:color w:val="000000"/>
                <w:sz w:val="20"/>
              </w:rPr>
              <w:t>28%</w:t>
            </w:r>
          </w:p>
        </w:tc>
        <w:tc>
          <w:tcPr>
            <w:tcW w:w="1020" w:type="dxa"/>
            <w:tcBorders>
              <w:top w:val="nil"/>
              <w:left w:val="nil"/>
              <w:bottom w:val="single" w:sz="8" w:space="0" w:color="auto"/>
              <w:right w:val="single" w:sz="4" w:space="0" w:color="auto"/>
            </w:tcBorders>
            <w:shd w:val="clear" w:color="000000" w:fill="E2EFDA"/>
            <w:vAlign w:val="center"/>
            <w:hideMark/>
          </w:tcPr>
          <w:p w14:paraId="7FFC1B8E" w14:textId="77777777" w:rsidR="00190A3C" w:rsidRPr="00190A3C" w:rsidRDefault="00190A3C" w:rsidP="00190A3C">
            <w:pPr>
              <w:spacing w:before="0" w:after="0"/>
              <w:ind w:left="0"/>
              <w:jc w:val="center"/>
              <w:rPr>
                <w:color w:val="000000"/>
                <w:sz w:val="20"/>
              </w:rPr>
            </w:pPr>
            <w:r w:rsidRPr="00190A3C">
              <w:rPr>
                <w:color w:val="000000"/>
                <w:sz w:val="20"/>
              </w:rPr>
              <w:t>28%</w:t>
            </w:r>
          </w:p>
        </w:tc>
        <w:tc>
          <w:tcPr>
            <w:tcW w:w="1020" w:type="dxa"/>
            <w:tcBorders>
              <w:top w:val="nil"/>
              <w:left w:val="nil"/>
              <w:bottom w:val="single" w:sz="8" w:space="0" w:color="auto"/>
              <w:right w:val="single" w:sz="4" w:space="0" w:color="auto"/>
            </w:tcBorders>
            <w:shd w:val="clear" w:color="000000" w:fill="E2EFDA"/>
            <w:vAlign w:val="center"/>
            <w:hideMark/>
          </w:tcPr>
          <w:p w14:paraId="7FFC1B8F" w14:textId="77777777" w:rsidR="00190A3C" w:rsidRPr="00190A3C" w:rsidRDefault="00190A3C" w:rsidP="00190A3C">
            <w:pPr>
              <w:spacing w:before="0" w:after="0"/>
              <w:ind w:left="0"/>
              <w:jc w:val="center"/>
              <w:rPr>
                <w:color w:val="000000"/>
                <w:sz w:val="20"/>
              </w:rPr>
            </w:pPr>
            <w:r w:rsidRPr="00190A3C">
              <w:rPr>
                <w:color w:val="000000"/>
                <w:sz w:val="20"/>
              </w:rPr>
              <w:t>17%</w:t>
            </w:r>
          </w:p>
        </w:tc>
        <w:tc>
          <w:tcPr>
            <w:tcW w:w="1020" w:type="dxa"/>
            <w:tcBorders>
              <w:top w:val="nil"/>
              <w:left w:val="nil"/>
              <w:bottom w:val="single" w:sz="8" w:space="0" w:color="auto"/>
              <w:right w:val="single" w:sz="4" w:space="0" w:color="auto"/>
            </w:tcBorders>
            <w:shd w:val="clear" w:color="000000" w:fill="E2EFDA"/>
            <w:vAlign w:val="center"/>
            <w:hideMark/>
          </w:tcPr>
          <w:p w14:paraId="7FFC1B90" w14:textId="77777777" w:rsidR="00190A3C" w:rsidRPr="00190A3C" w:rsidRDefault="00190A3C" w:rsidP="00190A3C">
            <w:pPr>
              <w:spacing w:before="0" w:after="0"/>
              <w:ind w:left="0"/>
              <w:jc w:val="center"/>
              <w:rPr>
                <w:color w:val="000000"/>
                <w:sz w:val="20"/>
              </w:rPr>
            </w:pPr>
            <w:r w:rsidRPr="00190A3C">
              <w:rPr>
                <w:color w:val="000000"/>
                <w:sz w:val="20"/>
              </w:rPr>
              <w:t>15%</w:t>
            </w:r>
          </w:p>
        </w:tc>
        <w:tc>
          <w:tcPr>
            <w:tcW w:w="1020" w:type="dxa"/>
            <w:tcBorders>
              <w:top w:val="nil"/>
              <w:left w:val="nil"/>
              <w:bottom w:val="single" w:sz="8" w:space="0" w:color="auto"/>
              <w:right w:val="single" w:sz="4" w:space="0" w:color="auto"/>
            </w:tcBorders>
            <w:shd w:val="clear" w:color="000000" w:fill="E2EFDA"/>
            <w:vAlign w:val="center"/>
            <w:hideMark/>
          </w:tcPr>
          <w:p w14:paraId="7FFC1B91" w14:textId="77777777" w:rsidR="00190A3C" w:rsidRPr="00190A3C" w:rsidRDefault="00190A3C" w:rsidP="00190A3C">
            <w:pPr>
              <w:spacing w:before="0" w:after="0"/>
              <w:ind w:left="0"/>
              <w:jc w:val="center"/>
              <w:rPr>
                <w:color w:val="000000"/>
                <w:sz w:val="20"/>
              </w:rPr>
            </w:pPr>
            <w:r w:rsidRPr="00190A3C">
              <w:rPr>
                <w:color w:val="000000"/>
                <w:sz w:val="20"/>
              </w:rPr>
              <w:t>20%</w:t>
            </w:r>
          </w:p>
        </w:tc>
        <w:tc>
          <w:tcPr>
            <w:tcW w:w="1020" w:type="dxa"/>
            <w:tcBorders>
              <w:top w:val="nil"/>
              <w:left w:val="nil"/>
              <w:bottom w:val="single" w:sz="8" w:space="0" w:color="auto"/>
              <w:right w:val="single" w:sz="4" w:space="0" w:color="auto"/>
            </w:tcBorders>
            <w:shd w:val="clear" w:color="000000" w:fill="E2EFDA"/>
            <w:vAlign w:val="center"/>
            <w:hideMark/>
          </w:tcPr>
          <w:p w14:paraId="7FFC1B92" w14:textId="77777777" w:rsidR="00190A3C" w:rsidRPr="00190A3C" w:rsidRDefault="00190A3C" w:rsidP="00190A3C">
            <w:pPr>
              <w:spacing w:before="0" w:after="0"/>
              <w:ind w:left="0"/>
              <w:jc w:val="center"/>
              <w:rPr>
                <w:color w:val="000000"/>
                <w:sz w:val="20"/>
              </w:rPr>
            </w:pPr>
            <w:r w:rsidRPr="00190A3C">
              <w:rPr>
                <w:color w:val="000000"/>
                <w:sz w:val="20"/>
              </w:rPr>
              <w:t>27%</w:t>
            </w:r>
          </w:p>
        </w:tc>
        <w:tc>
          <w:tcPr>
            <w:tcW w:w="1020" w:type="dxa"/>
            <w:tcBorders>
              <w:top w:val="nil"/>
              <w:left w:val="nil"/>
              <w:bottom w:val="single" w:sz="8" w:space="0" w:color="auto"/>
              <w:right w:val="single" w:sz="4" w:space="0" w:color="auto"/>
            </w:tcBorders>
            <w:shd w:val="clear" w:color="000000" w:fill="E2EFDA"/>
            <w:vAlign w:val="center"/>
            <w:hideMark/>
          </w:tcPr>
          <w:p w14:paraId="7FFC1B93" w14:textId="77777777" w:rsidR="00190A3C" w:rsidRPr="00190A3C" w:rsidRDefault="00190A3C" w:rsidP="00190A3C">
            <w:pPr>
              <w:spacing w:before="0" w:after="0"/>
              <w:ind w:left="0"/>
              <w:jc w:val="center"/>
              <w:rPr>
                <w:color w:val="000000"/>
                <w:sz w:val="20"/>
              </w:rPr>
            </w:pPr>
            <w:r w:rsidRPr="00190A3C">
              <w:rPr>
                <w:color w:val="000000"/>
                <w:sz w:val="20"/>
              </w:rPr>
              <w:t>6%</w:t>
            </w:r>
          </w:p>
        </w:tc>
        <w:tc>
          <w:tcPr>
            <w:tcW w:w="1020" w:type="dxa"/>
            <w:tcBorders>
              <w:top w:val="nil"/>
              <w:left w:val="nil"/>
              <w:bottom w:val="single" w:sz="8" w:space="0" w:color="auto"/>
              <w:right w:val="single" w:sz="4" w:space="0" w:color="auto"/>
            </w:tcBorders>
            <w:shd w:val="clear" w:color="000000" w:fill="E2EFDA"/>
            <w:vAlign w:val="center"/>
            <w:hideMark/>
          </w:tcPr>
          <w:p w14:paraId="7FFC1B94" w14:textId="77777777" w:rsidR="00190A3C" w:rsidRPr="00190A3C" w:rsidRDefault="00190A3C" w:rsidP="00190A3C">
            <w:pPr>
              <w:spacing w:before="0" w:after="0"/>
              <w:ind w:left="0"/>
              <w:jc w:val="center"/>
              <w:rPr>
                <w:color w:val="000000"/>
                <w:sz w:val="20"/>
              </w:rPr>
            </w:pPr>
            <w:r w:rsidRPr="00190A3C">
              <w:rPr>
                <w:color w:val="000000"/>
                <w:sz w:val="20"/>
              </w:rPr>
              <w:t>8%</w:t>
            </w:r>
          </w:p>
        </w:tc>
        <w:tc>
          <w:tcPr>
            <w:tcW w:w="1020" w:type="dxa"/>
            <w:tcBorders>
              <w:top w:val="nil"/>
              <w:left w:val="nil"/>
              <w:bottom w:val="single" w:sz="8" w:space="0" w:color="auto"/>
              <w:right w:val="single" w:sz="4" w:space="0" w:color="auto"/>
            </w:tcBorders>
            <w:shd w:val="clear" w:color="000000" w:fill="E2EFDA"/>
            <w:vAlign w:val="center"/>
            <w:hideMark/>
          </w:tcPr>
          <w:p w14:paraId="7FFC1B95" w14:textId="77777777" w:rsidR="00190A3C" w:rsidRPr="00190A3C" w:rsidRDefault="00190A3C" w:rsidP="00190A3C">
            <w:pPr>
              <w:spacing w:before="0" w:after="0"/>
              <w:ind w:left="0"/>
              <w:jc w:val="center"/>
              <w:rPr>
                <w:color w:val="000000"/>
                <w:sz w:val="20"/>
              </w:rPr>
            </w:pPr>
            <w:r w:rsidRPr="00190A3C">
              <w:rPr>
                <w:color w:val="000000"/>
                <w:sz w:val="20"/>
              </w:rPr>
              <w:t>14%</w:t>
            </w:r>
          </w:p>
        </w:tc>
        <w:tc>
          <w:tcPr>
            <w:tcW w:w="1020" w:type="dxa"/>
            <w:tcBorders>
              <w:top w:val="nil"/>
              <w:left w:val="nil"/>
              <w:bottom w:val="single" w:sz="8" w:space="0" w:color="auto"/>
              <w:right w:val="single" w:sz="8" w:space="0" w:color="auto"/>
            </w:tcBorders>
            <w:shd w:val="clear" w:color="000000" w:fill="E2EFDA"/>
            <w:vAlign w:val="center"/>
            <w:hideMark/>
          </w:tcPr>
          <w:p w14:paraId="7FFC1B96" w14:textId="77777777" w:rsidR="00190A3C" w:rsidRPr="00190A3C" w:rsidRDefault="00190A3C" w:rsidP="00190A3C">
            <w:pPr>
              <w:spacing w:before="0" w:after="0"/>
              <w:ind w:left="0"/>
              <w:jc w:val="center"/>
              <w:rPr>
                <w:color w:val="000000"/>
                <w:sz w:val="20"/>
              </w:rPr>
            </w:pPr>
            <w:r w:rsidRPr="00190A3C">
              <w:rPr>
                <w:color w:val="000000"/>
                <w:sz w:val="20"/>
              </w:rPr>
              <w:t>25%</w:t>
            </w:r>
          </w:p>
        </w:tc>
      </w:tr>
      <w:tr w:rsidR="00190A3C" w:rsidRPr="00190A3C" w14:paraId="7FFC1BA4" w14:textId="77777777"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14:paraId="7FFC1B98" w14:textId="77777777" w:rsidR="00190A3C" w:rsidRPr="00190A3C" w:rsidRDefault="00190A3C" w:rsidP="00190A3C">
            <w:pPr>
              <w:spacing w:before="0" w:after="0"/>
              <w:ind w:left="0"/>
              <w:jc w:val="left"/>
              <w:rPr>
                <w:color w:val="000000"/>
                <w:sz w:val="20"/>
              </w:rPr>
            </w:pPr>
            <w:r w:rsidRPr="00190A3C">
              <w:rPr>
                <w:color w:val="000000"/>
                <w:sz w:val="20"/>
              </w:rPr>
              <w:t xml:space="preserve">Division 62 : </w:t>
            </w:r>
            <w:r w:rsidRPr="00190A3C">
              <w:rPr>
                <w:color w:val="000000"/>
                <w:sz w:val="20"/>
              </w:rPr>
              <w:br/>
              <w:t>Programmation, conseil et autres activités informatiques</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14:paraId="7FFC1B99" w14:textId="77777777"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14:paraId="7FFC1B9A" w14:textId="77777777" w:rsidR="00190A3C" w:rsidRPr="00190A3C" w:rsidRDefault="00190A3C" w:rsidP="00190A3C">
            <w:pPr>
              <w:spacing w:before="0" w:after="0"/>
              <w:ind w:left="0"/>
              <w:jc w:val="center"/>
              <w:rPr>
                <w:color w:val="000000"/>
                <w:sz w:val="20"/>
              </w:rPr>
            </w:pPr>
            <w:r w:rsidRPr="00190A3C">
              <w:rPr>
                <w:color w:val="000000"/>
                <w:sz w:val="20"/>
              </w:rPr>
              <w:t xml:space="preserve">   78 260   </w:t>
            </w:r>
          </w:p>
        </w:tc>
        <w:tc>
          <w:tcPr>
            <w:tcW w:w="1020" w:type="dxa"/>
            <w:tcBorders>
              <w:top w:val="nil"/>
              <w:left w:val="nil"/>
              <w:bottom w:val="single" w:sz="4" w:space="0" w:color="auto"/>
              <w:right w:val="single" w:sz="4" w:space="0" w:color="auto"/>
            </w:tcBorders>
            <w:shd w:val="clear" w:color="auto" w:fill="auto"/>
            <w:vAlign w:val="center"/>
            <w:hideMark/>
          </w:tcPr>
          <w:p w14:paraId="7FFC1B9B" w14:textId="77777777" w:rsidR="00190A3C" w:rsidRPr="00190A3C" w:rsidRDefault="00190A3C" w:rsidP="00190A3C">
            <w:pPr>
              <w:spacing w:before="0" w:after="0"/>
              <w:ind w:left="0"/>
              <w:jc w:val="center"/>
              <w:rPr>
                <w:color w:val="000000"/>
                <w:sz w:val="20"/>
              </w:rPr>
            </w:pPr>
            <w:r w:rsidRPr="00190A3C">
              <w:rPr>
                <w:color w:val="000000"/>
                <w:sz w:val="20"/>
              </w:rPr>
              <w:t xml:space="preserve"> 298 707   </w:t>
            </w:r>
          </w:p>
        </w:tc>
        <w:tc>
          <w:tcPr>
            <w:tcW w:w="1020" w:type="dxa"/>
            <w:tcBorders>
              <w:top w:val="nil"/>
              <w:left w:val="nil"/>
              <w:bottom w:val="single" w:sz="4" w:space="0" w:color="auto"/>
              <w:right w:val="single" w:sz="4" w:space="0" w:color="auto"/>
            </w:tcBorders>
            <w:shd w:val="clear" w:color="auto" w:fill="auto"/>
            <w:vAlign w:val="center"/>
            <w:hideMark/>
          </w:tcPr>
          <w:p w14:paraId="7FFC1B9C" w14:textId="77777777" w:rsidR="00190A3C" w:rsidRPr="00190A3C" w:rsidRDefault="00190A3C" w:rsidP="00190A3C">
            <w:pPr>
              <w:spacing w:before="0" w:after="0"/>
              <w:ind w:left="0"/>
              <w:jc w:val="center"/>
              <w:rPr>
                <w:color w:val="000000"/>
                <w:sz w:val="20"/>
              </w:rPr>
            </w:pPr>
            <w:r w:rsidRPr="00190A3C">
              <w:rPr>
                <w:color w:val="000000"/>
                <w:sz w:val="20"/>
              </w:rPr>
              <w:t xml:space="preserve">   53 314   </w:t>
            </w:r>
          </w:p>
        </w:tc>
        <w:tc>
          <w:tcPr>
            <w:tcW w:w="1020" w:type="dxa"/>
            <w:tcBorders>
              <w:top w:val="nil"/>
              <w:left w:val="nil"/>
              <w:bottom w:val="single" w:sz="4" w:space="0" w:color="auto"/>
              <w:right w:val="single" w:sz="4" w:space="0" w:color="auto"/>
            </w:tcBorders>
            <w:shd w:val="clear" w:color="auto" w:fill="auto"/>
            <w:vAlign w:val="center"/>
            <w:hideMark/>
          </w:tcPr>
          <w:p w14:paraId="7FFC1B9D" w14:textId="77777777" w:rsidR="00190A3C" w:rsidRPr="00190A3C" w:rsidRDefault="00190A3C" w:rsidP="00190A3C">
            <w:pPr>
              <w:spacing w:before="0" w:after="0"/>
              <w:ind w:left="0"/>
              <w:jc w:val="center"/>
              <w:rPr>
                <w:color w:val="000000"/>
                <w:sz w:val="20"/>
              </w:rPr>
            </w:pPr>
            <w:r w:rsidRPr="00190A3C">
              <w:rPr>
                <w:color w:val="000000"/>
                <w:sz w:val="20"/>
              </w:rPr>
              <w:t xml:space="preserve">    6 971   </w:t>
            </w:r>
          </w:p>
        </w:tc>
        <w:tc>
          <w:tcPr>
            <w:tcW w:w="1020" w:type="dxa"/>
            <w:tcBorders>
              <w:top w:val="nil"/>
              <w:left w:val="nil"/>
              <w:bottom w:val="single" w:sz="4" w:space="0" w:color="auto"/>
              <w:right w:val="single" w:sz="4" w:space="0" w:color="auto"/>
            </w:tcBorders>
            <w:shd w:val="clear" w:color="auto" w:fill="auto"/>
            <w:vAlign w:val="center"/>
            <w:hideMark/>
          </w:tcPr>
          <w:p w14:paraId="7FFC1B9E" w14:textId="77777777" w:rsidR="00190A3C" w:rsidRPr="00190A3C" w:rsidRDefault="00190A3C" w:rsidP="00190A3C">
            <w:pPr>
              <w:spacing w:before="0" w:after="0"/>
              <w:ind w:left="0"/>
              <w:jc w:val="center"/>
              <w:rPr>
                <w:color w:val="000000"/>
                <w:sz w:val="20"/>
              </w:rPr>
            </w:pPr>
            <w:r w:rsidRPr="00190A3C">
              <w:rPr>
                <w:color w:val="000000"/>
                <w:sz w:val="20"/>
              </w:rPr>
              <w:t xml:space="preserve">   27 222   </w:t>
            </w:r>
          </w:p>
        </w:tc>
        <w:tc>
          <w:tcPr>
            <w:tcW w:w="1020" w:type="dxa"/>
            <w:tcBorders>
              <w:top w:val="nil"/>
              <w:left w:val="nil"/>
              <w:bottom w:val="single" w:sz="4" w:space="0" w:color="auto"/>
              <w:right w:val="nil"/>
            </w:tcBorders>
            <w:shd w:val="clear" w:color="auto" w:fill="auto"/>
            <w:vAlign w:val="center"/>
            <w:hideMark/>
          </w:tcPr>
          <w:p w14:paraId="7FFC1B9F" w14:textId="77777777" w:rsidR="00190A3C" w:rsidRPr="00190A3C" w:rsidRDefault="00190A3C" w:rsidP="00190A3C">
            <w:pPr>
              <w:spacing w:before="0" w:after="0"/>
              <w:ind w:left="0"/>
              <w:jc w:val="center"/>
              <w:rPr>
                <w:color w:val="000000"/>
                <w:sz w:val="20"/>
              </w:rPr>
            </w:pPr>
            <w:r w:rsidRPr="00190A3C">
              <w:rPr>
                <w:color w:val="000000"/>
                <w:sz w:val="20"/>
              </w:rPr>
              <w:t xml:space="preserve">   22 485   </w:t>
            </w:r>
          </w:p>
        </w:tc>
        <w:tc>
          <w:tcPr>
            <w:tcW w:w="1020" w:type="dxa"/>
            <w:tcBorders>
              <w:top w:val="nil"/>
              <w:left w:val="single" w:sz="4" w:space="0" w:color="auto"/>
              <w:bottom w:val="single" w:sz="4" w:space="0" w:color="auto"/>
              <w:right w:val="nil"/>
            </w:tcBorders>
            <w:shd w:val="clear" w:color="auto" w:fill="auto"/>
            <w:vAlign w:val="center"/>
            <w:hideMark/>
          </w:tcPr>
          <w:p w14:paraId="7FFC1BA0" w14:textId="77777777" w:rsidR="00190A3C" w:rsidRPr="00190A3C" w:rsidRDefault="00190A3C" w:rsidP="00190A3C">
            <w:pPr>
              <w:spacing w:before="0" w:after="0"/>
              <w:ind w:left="0"/>
              <w:jc w:val="center"/>
              <w:rPr>
                <w:color w:val="000000"/>
                <w:sz w:val="20"/>
              </w:rPr>
            </w:pPr>
            <w:r w:rsidRPr="00190A3C">
              <w:rPr>
                <w:color w:val="000000"/>
                <w:sz w:val="20"/>
              </w:rPr>
              <w:t xml:space="preserve">    3 679   </w:t>
            </w:r>
          </w:p>
        </w:tc>
        <w:tc>
          <w:tcPr>
            <w:tcW w:w="1020" w:type="dxa"/>
            <w:tcBorders>
              <w:top w:val="nil"/>
              <w:left w:val="single" w:sz="4" w:space="0" w:color="auto"/>
              <w:bottom w:val="single" w:sz="4" w:space="0" w:color="auto"/>
              <w:right w:val="nil"/>
            </w:tcBorders>
            <w:shd w:val="clear" w:color="auto" w:fill="auto"/>
            <w:vAlign w:val="center"/>
            <w:hideMark/>
          </w:tcPr>
          <w:p w14:paraId="7FFC1BA1" w14:textId="77777777" w:rsidR="00190A3C" w:rsidRPr="00190A3C" w:rsidRDefault="00190A3C" w:rsidP="00190A3C">
            <w:pPr>
              <w:spacing w:before="0" w:after="0"/>
              <w:ind w:left="0"/>
              <w:jc w:val="center"/>
              <w:rPr>
                <w:color w:val="000000"/>
                <w:sz w:val="20"/>
              </w:rPr>
            </w:pPr>
            <w:r w:rsidRPr="00190A3C">
              <w:rPr>
                <w:color w:val="000000"/>
                <w:sz w:val="20"/>
              </w:rPr>
              <w:t xml:space="preserve">    3 644   </w:t>
            </w:r>
          </w:p>
        </w:tc>
        <w:tc>
          <w:tcPr>
            <w:tcW w:w="1020" w:type="dxa"/>
            <w:tcBorders>
              <w:top w:val="nil"/>
              <w:left w:val="single" w:sz="4" w:space="0" w:color="auto"/>
              <w:bottom w:val="single" w:sz="4" w:space="0" w:color="auto"/>
              <w:right w:val="nil"/>
            </w:tcBorders>
            <w:shd w:val="clear" w:color="auto" w:fill="auto"/>
            <w:vAlign w:val="center"/>
            <w:hideMark/>
          </w:tcPr>
          <w:p w14:paraId="7FFC1BA2" w14:textId="77777777" w:rsidR="00190A3C" w:rsidRPr="00190A3C" w:rsidRDefault="00190A3C" w:rsidP="00190A3C">
            <w:pPr>
              <w:spacing w:before="0" w:after="0"/>
              <w:ind w:left="0"/>
              <w:jc w:val="center"/>
              <w:rPr>
                <w:color w:val="000000"/>
                <w:sz w:val="20"/>
              </w:rPr>
            </w:pPr>
            <w:r w:rsidRPr="00190A3C">
              <w:rPr>
                <w:color w:val="000000"/>
                <w:sz w:val="20"/>
              </w:rPr>
              <w:t xml:space="preserve">    2 558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7FFC1BA3" w14:textId="77777777" w:rsidR="00190A3C" w:rsidRPr="00190A3C" w:rsidRDefault="00190A3C" w:rsidP="00190A3C">
            <w:pPr>
              <w:spacing w:before="0" w:after="0"/>
              <w:ind w:left="0"/>
              <w:jc w:val="center"/>
              <w:rPr>
                <w:color w:val="000000"/>
                <w:sz w:val="20"/>
              </w:rPr>
            </w:pPr>
            <w:r w:rsidRPr="00190A3C">
              <w:rPr>
                <w:color w:val="000000"/>
                <w:sz w:val="20"/>
              </w:rPr>
              <w:t xml:space="preserve">    1 841   </w:t>
            </w:r>
          </w:p>
        </w:tc>
      </w:tr>
      <w:tr w:rsidR="00190A3C" w:rsidRPr="00190A3C" w14:paraId="7FFC1BB1" w14:textId="77777777" w:rsidTr="00190A3C">
        <w:trPr>
          <w:trHeight w:val="450"/>
        </w:trPr>
        <w:tc>
          <w:tcPr>
            <w:tcW w:w="3000" w:type="dxa"/>
            <w:vMerge/>
            <w:tcBorders>
              <w:top w:val="nil"/>
              <w:left w:val="single" w:sz="8" w:space="0" w:color="auto"/>
              <w:bottom w:val="single" w:sz="8" w:space="0" w:color="000000"/>
              <w:right w:val="nil"/>
            </w:tcBorders>
            <w:vAlign w:val="center"/>
            <w:hideMark/>
          </w:tcPr>
          <w:p w14:paraId="7FFC1BA5" w14:textId="77777777"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14:paraId="7FFC1BA6" w14:textId="77777777"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14:paraId="7FFC1BA7" w14:textId="77777777"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14:paraId="7FFC1BA8" w14:textId="77777777" w:rsidR="00190A3C" w:rsidRPr="00190A3C" w:rsidRDefault="00190A3C" w:rsidP="00190A3C">
            <w:pPr>
              <w:spacing w:before="0" w:after="0"/>
              <w:ind w:left="0"/>
              <w:jc w:val="center"/>
              <w:rPr>
                <w:color w:val="000000"/>
                <w:sz w:val="20"/>
              </w:rPr>
            </w:pPr>
            <w:r w:rsidRPr="00190A3C">
              <w:rPr>
                <w:color w:val="000000"/>
                <w:sz w:val="20"/>
              </w:rPr>
              <w:t>62%</w:t>
            </w:r>
          </w:p>
        </w:tc>
        <w:tc>
          <w:tcPr>
            <w:tcW w:w="1020" w:type="dxa"/>
            <w:tcBorders>
              <w:top w:val="nil"/>
              <w:left w:val="nil"/>
              <w:bottom w:val="single" w:sz="8" w:space="0" w:color="auto"/>
              <w:right w:val="single" w:sz="4" w:space="0" w:color="auto"/>
            </w:tcBorders>
            <w:shd w:val="clear" w:color="000000" w:fill="E2EFDA"/>
            <w:vAlign w:val="center"/>
            <w:hideMark/>
          </w:tcPr>
          <w:p w14:paraId="7FFC1BA9" w14:textId="77777777" w:rsidR="00190A3C" w:rsidRPr="00190A3C" w:rsidRDefault="00190A3C" w:rsidP="00190A3C">
            <w:pPr>
              <w:spacing w:before="0" w:after="0"/>
              <w:ind w:left="0"/>
              <w:jc w:val="center"/>
              <w:rPr>
                <w:color w:val="000000"/>
                <w:sz w:val="20"/>
              </w:rPr>
            </w:pPr>
            <w:r w:rsidRPr="00190A3C">
              <w:rPr>
                <w:color w:val="000000"/>
                <w:sz w:val="20"/>
              </w:rPr>
              <w:t>55%</w:t>
            </w:r>
          </w:p>
        </w:tc>
        <w:tc>
          <w:tcPr>
            <w:tcW w:w="1020" w:type="dxa"/>
            <w:tcBorders>
              <w:top w:val="nil"/>
              <w:left w:val="nil"/>
              <w:bottom w:val="single" w:sz="8" w:space="0" w:color="auto"/>
              <w:right w:val="single" w:sz="4" w:space="0" w:color="auto"/>
            </w:tcBorders>
            <w:shd w:val="clear" w:color="000000" w:fill="E2EFDA"/>
            <w:vAlign w:val="center"/>
            <w:hideMark/>
          </w:tcPr>
          <w:p w14:paraId="7FFC1BAA" w14:textId="77777777" w:rsidR="00190A3C" w:rsidRPr="00190A3C" w:rsidRDefault="00190A3C" w:rsidP="00190A3C">
            <w:pPr>
              <w:spacing w:before="0" w:after="0"/>
              <w:ind w:left="0"/>
              <w:jc w:val="center"/>
              <w:rPr>
                <w:color w:val="000000"/>
                <w:sz w:val="20"/>
              </w:rPr>
            </w:pPr>
            <w:r w:rsidRPr="00190A3C">
              <w:rPr>
                <w:color w:val="000000"/>
                <w:sz w:val="20"/>
              </w:rPr>
              <w:t>42%</w:t>
            </w:r>
          </w:p>
        </w:tc>
        <w:tc>
          <w:tcPr>
            <w:tcW w:w="1020" w:type="dxa"/>
            <w:tcBorders>
              <w:top w:val="nil"/>
              <w:left w:val="nil"/>
              <w:bottom w:val="single" w:sz="8" w:space="0" w:color="auto"/>
              <w:right w:val="single" w:sz="4" w:space="0" w:color="auto"/>
            </w:tcBorders>
            <w:shd w:val="clear" w:color="000000" w:fill="E2EFDA"/>
            <w:vAlign w:val="center"/>
            <w:hideMark/>
          </w:tcPr>
          <w:p w14:paraId="7FFC1BAB" w14:textId="77777777" w:rsidR="00190A3C" w:rsidRPr="00190A3C" w:rsidRDefault="00190A3C" w:rsidP="00190A3C">
            <w:pPr>
              <w:spacing w:before="0" w:after="0"/>
              <w:ind w:left="0"/>
              <w:jc w:val="center"/>
              <w:rPr>
                <w:color w:val="000000"/>
                <w:sz w:val="20"/>
              </w:rPr>
            </w:pPr>
            <w:r w:rsidRPr="00190A3C">
              <w:rPr>
                <w:color w:val="000000"/>
                <w:sz w:val="20"/>
              </w:rPr>
              <w:t>58%</w:t>
            </w:r>
          </w:p>
        </w:tc>
        <w:tc>
          <w:tcPr>
            <w:tcW w:w="1020" w:type="dxa"/>
            <w:tcBorders>
              <w:top w:val="nil"/>
              <w:left w:val="nil"/>
              <w:bottom w:val="single" w:sz="8" w:space="0" w:color="auto"/>
              <w:right w:val="single" w:sz="4" w:space="0" w:color="auto"/>
            </w:tcBorders>
            <w:shd w:val="clear" w:color="000000" w:fill="E2EFDA"/>
            <w:vAlign w:val="center"/>
            <w:hideMark/>
          </w:tcPr>
          <w:p w14:paraId="7FFC1BAC" w14:textId="77777777" w:rsidR="00190A3C" w:rsidRPr="00190A3C" w:rsidRDefault="00190A3C" w:rsidP="00190A3C">
            <w:pPr>
              <w:spacing w:before="0" w:after="0"/>
              <w:ind w:left="0"/>
              <w:jc w:val="center"/>
              <w:rPr>
                <w:color w:val="000000"/>
                <w:sz w:val="20"/>
              </w:rPr>
            </w:pPr>
            <w:r w:rsidRPr="00190A3C">
              <w:rPr>
                <w:color w:val="000000"/>
                <w:sz w:val="20"/>
              </w:rPr>
              <w:t>61%</w:t>
            </w:r>
          </w:p>
        </w:tc>
        <w:tc>
          <w:tcPr>
            <w:tcW w:w="1020" w:type="dxa"/>
            <w:tcBorders>
              <w:top w:val="nil"/>
              <w:left w:val="nil"/>
              <w:bottom w:val="single" w:sz="8" w:space="0" w:color="auto"/>
              <w:right w:val="single" w:sz="4" w:space="0" w:color="auto"/>
            </w:tcBorders>
            <w:shd w:val="clear" w:color="000000" w:fill="E2EFDA"/>
            <w:vAlign w:val="center"/>
            <w:hideMark/>
          </w:tcPr>
          <w:p w14:paraId="7FFC1BAD" w14:textId="77777777" w:rsidR="00190A3C" w:rsidRPr="00190A3C" w:rsidRDefault="00190A3C" w:rsidP="00190A3C">
            <w:pPr>
              <w:spacing w:before="0" w:after="0"/>
              <w:ind w:left="0"/>
              <w:jc w:val="center"/>
              <w:rPr>
                <w:color w:val="000000"/>
                <w:sz w:val="20"/>
              </w:rPr>
            </w:pPr>
            <w:r w:rsidRPr="00190A3C">
              <w:rPr>
                <w:color w:val="000000"/>
                <w:sz w:val="20"/>
              </w:rPr>
              <w:t>43%</w:t>
            </w:r>
          </w:p>
        </w:tc>
        <w:tc>
          <w:tcPr>
            <w:tcW w:w="1020" w:type="dxa"/>
            <w:tcBorders>
              <w:top w:val="nil"/>
              <w:left w:val="nil"/>
              <w:bottom w:val="single" w:sz="8" w:space="0" w:color="auto"/>
              <w:right w:val="single" w:sz="4" w:space="0" w:color="auto"/>
            </w:tcBorders>
            <w:shd w:val="clear" w:color="000000" w:fill="E2EFDA"/>
            <w:vAlign w:val="center"/>
            <w:hideMark/>
          </w:tcPr>
          <w:p w14:paraId="7FFC1BAE" w14:textId="77777777"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14:paraId="7FFC1BAF" w14:textId="77777777" w:rsidR="00190A3C" w:rsidRPr="00190A3C" w:rsidRDefault="00190A3C" w:rsidP="00190A3C">
            <w:pPr>
              <w:spacing w:before="0" w:after="0"/>
              <w:ind w:left="0"/>
              <w:jc w:val="center"/>
              <w:rPr>
                <w:color w:val="000000"/>
                <w:sz w:val="20"/>
              </w:rPr>
            </w:pPr>
            <w:r w:rsidRPr="00190A3C">
              <w:rPr>
                <w:color w:val="000000"/>
                <w:sz w:val="20"/>
              </w:rPr>
              <w:t>59%</w:t>
            </w:r>
          </w:p>
        </w:tc>
        <w:tc>
          <w:tcPr>
            <w:tcW w:w="1020" w:type="dxa"/>
            <w:tcBorders>
              <w:top w:val="nil"/>
              <w:left w:val="nil"/>
              <w:bottom w:val="single" w:sz="8" w:space="0" w:color="auto"/>
              <w:right w:val="single" w:sz="8" w:space="0" w:color="auto"/>
            </w:tcBorders>
            <w:shd w:val="clear" w:color="000000" w:fill="E2EFDA"/>
            <w:vAlign w:val="center"/>
            <w:hideMark/>
          </w:tcPr>
          <w:p w14:paraId="7FFC1BB0" w14:textId="77777777" w:rsidR="00190A3C" w:rsidRPr="00190A3C" w:rsidRDefault="00190A3C" w:rsidP="00190A3C">
            <w:pPr>
              <w:spacing w:before="0" w:after="0"/>
              <w:ind w:left="0"/>
              <w:jc w:val="center"/>
              <w:rPr>
                <w:color w:val="000000"/>
                <w:sz w:val="20"/>
              </w:rPr>
            </w:pPr>
            <w:r w:rsidRPr="00190A3C">
              <w:rPr>
                <w:color w:val="000000"/>
                <w:sz w:val="20"/>
              </w:rPr>
              <w:t>72%</w:t>
            </w:r>
          </w:p>
        </w:tc>
      </w:tr>
      <w:tr w:rsidR="00190A3C" w:rsidRPr="00190A3C" w14:paraId="7FFC1BBE" w14:textId="77777777"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14:paraId="7FFC1BB2" w14:textId="77777777" w:rsidR="00190A3C" w:rsidRPr="00190A3C" w:rsidRDefault="00190A3C" w:rsidP="00190A3C">
            <w:pPr>
              <w:spacing w:before="0" w:after="0"/>
              <w:ind w:left="0"/>
              <w:jc w:val="left"/>
              <w:rPr>
                <w:color w:val="000000"/>
                <w:sz w:val="20"/>
              </w:rPr>
            </w:pPr>
            <w:r w:rsidRPr="00190A3C">
              <w:rPr>
                <w:color w:val="000000"/>
                <w:sz w:val="20"/>
              </w:rPr>
              <w:t xml:space="preserve">Groupe 620 : </w:t>
            </w:r>
            <w:r w:rsidRPr="00190A3C">
              <w:rPr>
                <w:color w:val="000000"/>
                <w:sz w:val="20"/>
              </w:rPr>
              <w:br/>
              <w:t>Programmation, conseil et autres activités informatiques</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14:paraId="7FFC1BB3" w14:textId="77777777"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14:paraId="7FFC1BB4" w14:textId="77777777" w:rsidR="00190A3C" w:rsidRPr="00190A3C" w:rsidRDefault="00190A3C" w:rsidP="00190A3C">
            <w:pPr>
              <w:spacing w:before="0" w:after="0"/>
              <w:ind w:left="0"/>
              <w:jc w:val="center"/>
              <w:rPr>
                <w:color w:val="000000"/>
                <w:sz w:val="20"/>
              </w:rPr>
            </w:pPr>
            <w:r w:rsidRPr="00190A3C">
              <w:rPr>
                <w:color w:val="000000"/>
                <w:sz w:val="20"/>
              </w:rPr>
              <w:t xml:space="preserve">   78 260   </w:t>
            </w:r>
          </w:p>
        </w:tc>
        <w:tc>
          <w:tcPr>
            <w:tcW w:w="1020" w:type="dxa"/>
            <w:tcBorders>
              <w:top w:val="nil"/>
              <w:left w:val="nil"/>
              <w:bottom w:val="single" w:sz="4" w:space="0" w:color="auto"/>
              <w:right w:val="single" w:sz="4" w:space="0" w:color="auto"/>
            </w:tcBorders>
            <w:shd w:val="clear" w:color="auto" w:fill="auto"/>
            <w:vAlign w:val="center"/>
            <w:hideMark/>
          </w:tcPr>
          <w:p w14:paraId="7FFC1BB5" w14:textId="77777777" w:rsidR="00190A3C" w:rsidRPr="00190A3C" w:rsidRDefault="00190A3C" w:rsidP="00190A3C">
            <w:pPr>
              <w:spacing w:before="0" w:after="0"/>
              <w:ind w:left="0"/>
              <w:jc w:val="center"/>
              <w:rPr>
                <w:color w:val="000000"/>
                <w:sz w:val="20"/>
              </w:rPr>
            </w:pPr>
            <w:r w:rsidRPr="00190A3C">
              <w:rPr>
                <w:color w:val="000000"/>
                <w:sz w:val="20"/>
              </w:rPr>
              <w:t xml:space="preserve"> 298 707   </w:t>
            </w:r>
          </w:p>
        </w:tc>
        <w:tc>
          <w:tcPr>
            <w:tcW w:w="1020" w:type="dxa"/>
            <w:tcBorders>
              <w:top w:val="nil"/>
              <w:left w:val="nil"/>
              <w:bottom w:val="single" w:sz="4" w:space="0" w:color="auto"/>
              <w:right w:val="single" w:sz="4" w:space="0" w:color="auto"/>
            </w:tcBorders>
            <w:shd w:val="clear" w:color="auto" w:fill="auto"/>
            <w:vAlign w:val="center"/>
            <w:hideMark/>
          </w:tcPr>
          <w:p w14:paraId="7FFC1BB6" w14:textId="77777777" w:rsidR="00190A3C" w:rsidRPr="00190A3C" w:rsidRDefault="00190A3C" w:rsidP="00190A3C">
            <w:pPr>
              <w:spacing w:before="0" w:after="0"/>
              <w:ind w:left="0"/>
              <w:jc w:val="center"/>
              <w:rPr>
                <w:color w:val="000000"/>
                <w:sz w:val="20"/>
              </w:rPr>
            </w:pPr>
            <w:r w:rsidRPr="00190A3C">
              <w:rPr>
                <w:color w:val="000000"/>
                <w:sz w:val="20"/>
              </w:rPr>
              <w:t xml:space="preserve">   53 314   </w:t>
            </w:r>
          </w:p>
        </w:tc>
        <w:tc>
          <w:tcPr>
            <w:tcW w:w="1020" w:type="dxa"/>
            <w:tcBorders>
              <w:top w:val="nil"/>
              <w:left w:val="nil"/>
              <w:bottom w:val="single" w:sz="4" w:space="0" w:color="auto"/>
              <w:right w:val="single" w:sz="4" w:space="0" w:color="auto"/>
            </w:tcBorders>
            <w:shd w:val="clear" w:color="auto" w:fill="auto"/>
            <w:vAlign w:val="center"/>
            <w:hideMark/>
          </w:tcPr>
          <w:p w14:paraId="7FFC1BB7" w14:textId="77777777" w:rsidR="00190A3C" w:rsidRPr="00190A3C" w:rsidRDefault="00190A3C" w:rsidP="00190A3C">
            <w:pPr>
              <w:spacing w:before="0" w:after="0"/>
              <w:ind w:left="0"/>
              <w:jc w:val="center"/>
              <w:rPr>
                <w:color w:val="000000"/>
                <w:sz w:val="20"/>
              </w:rPr>
            </w:pPr>
            <w:r w:rsidRPr="00190A3C">
              <w:rPr>
                <w:color w:val="000000"/>
                <w:sz w:val="20"/>
              </w:rPr>
              <w:t xml:space="preserve">    6 971   </w:t>
            </w:r>
          </w:p>
        </w:tc>
        <w:tc>
          <w:tcPr>
            <w:tcW w:w="1020" w:type="dxa"/>
            <w:tcBorders>
              <w:top w:val="nil"/>
              <w:left w:val="nil"/>
              <w:bottom w:val="single" w:sz="4" w:space="0" w:color="auto"/>
              <w:right w:val="single" w:sz="4" w:space="0" w:color="auto"/>
            </w:tcBorders>
            <w:shd w:val="clear" w:color="auto" w:fill="auto"/>
            <w:vAlign w:val="center"/>
            <w:hideMark/>
          </w:tcPr>
          <w:p w14:paraId="7FFC1BB8" w14:textId="77777777" w:rsidR="00190A3C" w:rsidRPr="00190A3C" w:rsidRDefault="00190A3C" w:rsidP="00190A3C">
            <w:pPr>
              <w:spacing w:before="0" w:after="0"/>
              <w:ind w:left="0"/>
              <w:jc w:val="center"/>
              <w:rPr>
                <w:color w:val="000000"/>
                <w:sz w:val="20"/>
              </w:rPr>
            </w:pPr>
            <w:r w:rsidRPr="00190A3C">
              <w:rPr>
                <w:color w:val="000000"/>
                <w:sz w:val="20"/>
              </w:rPr>
              <w:t xml:space="preserve">   27 222   </w:t>
            </w:r>
          </w:p>
        </w:tc>
        <w:tc>
          <w:tcPr>
            <w:tcW w:w="1020" w:type="dxa"/>
            <w:tcBorders>
              <w:top w:val="nil"/>
              <w:left w:val="nil"/>
              <w:bottom w:val="single" w:sz="4" w:space="0" w:color="auto"/>
              <w:right w:val="nil"/>
            </w:tcBorders>
            <w:shd w:val="clear" w:color="auto" w:fill="auto"/>
            <w:vAlign w:val="center"/>
            <w:hideMark/>
          </w:tcPr>
          <w:p w14:paraId="7FFC1BB9" w14:textId="77777777" w:rsidR="00190A3C" w:rsidRPr="00190A3C" w:rsidRDefault="00190A3C" w:rsidP="00190A3C">
            <w:pPr>
              <w:spacing w:before="0" w:after="0"/>
              <w:ind w:left="0"/>
              <w:jc w:val="center"/>
              <w:rPr>
                <w:color w:val="000000"/>
                <w:sz w:val="20"/>
              </w:rPr>
            </w:pPr>
            <w:r w:rsidRPr="00190A3C">
              <w:rPr>
                <w:color w:val="000000"/>
                <w:sz w:val="20"/>
              </w:rPr>
              <w:t xml:space="preserve">   22 485   </w:t>
            </w:r>
          </w:p>
        </w:tc>
        <w:tc>
          <w:tcPr>
            <w:tcW w:w="1020" w:type="dxa"/>
            <w:tcBorders>
              <w:top w:val="nil"/>
              <w:left w:val="single" w:sz="4" w:space="0" w:color="auto"/>
              <w:bottom w:val="single" w:sz="4" w:space="0" w:color="auto"/>
              <w:right w:val="nil"/>
            </w:tcBorders>
            <w:shd w:val="clear" w:color="auto" w:fill="auto"/>
            <w:vAlign w:val="center"/>
            <w:hideMark/>
          </w:tcPr>
          <w:p w14:paraId="7FFC1BBA" w14:textId="77777777" w:rsidR="00190A3C" w:rsidRPr="00190A3C" w:rsidRDefault="00190A3C" w:rsidP="00190A3C">
            <w:pPr>
              <w:spacing w:before="0" w:after="0"/>
              <w:ind w:left="0"/>
              <w:jc w:val="center"/>
              <w:rPr>
                <w:color w:val="000000"/>
                <w:sz w:val="20"/>
              </w:rPr>
            </w:pPr>
            <w:r w:rsidRPr="00190A3C">
              <w:rPr>
                <w:color w:val="000000"/>
                <w:sz w:val="20"/>
              </w:rPr>
              <w:t xml:space="preserve">    3 679   </w:t>
            </w:r>
          </w:p>
        </w:tc>
        <w:tc>
          <w:tcPr>
            <w:tcW w:w="1020" w:type="dxa"/>
            <w:tcBorders>
              <w:top w:val="nil"/>
              <w:left w:val="single" w:sz="4" w:space="0" w:color="auto"/>
              <w:bottom w:val="single" w:sz="4" w:space="0" w:color="auto"/>
              <w:right w:val="nil"/>
            </w:tcBorders>
            <w:shd w:val="clear" w:color="auto" w:fill="auto"/>
            <w:vAlign w:val="center"/>
            <w:hideMark/>
          </w:tcPr>
          <w:p w14:paraId="7FFC1BBB" w14:textId="77777777" w:rsidR="00190A3C" w:rsidRPr="00190A3C" w:rsidRDefault="00190A3C" w:rsidP="00190A3C">
            <w:pPr>
              <w:spacing w:before="0" w:after="0"/>
              <w:ind w:left="0"/>
              <w:jc w:val="center"/>
              <w:rPr>
                <w:color w:val="000000"/>
                <w:sz w:val="20"/>
              </w:rPr>
            </w:pPr>
            <w:r w:rsidRPr="00190A3C">
              <w:rPr>
                <w:color w:val="000000"/>
                <w:sz w:val="20"/>
              </w:rPr>
              <w:t xml:space="preserve">    3 644   </w:t>
            </w:r>
          </w:p>
        </w:tc>
        <w:tc>
          <w:tcPr>
            <w:tcW w:w="1020" w:type="dxa"/>
            <w:tcBorders>
              <w:top w:val="nil"/>
              <w:left w:val="single" w:sz="4" w:space="0" w:color="auto"/>
              <w:bottom w:val="single" w:sz="4" w:space="0" w:color="auto"/>
              <w:right w:val="nil"/>
            </w:tcBorders>
            <w:shd w:val="clear" w:color="auto" w:fill="auto"/>
            <w:vAlign w:val="center"/>
            <w:hideMark/>
          </w:tcPr>
          <w:p w14:paraId="7FFC1BBC" w14:textId="77777777" w:rsidR="00190A3C" w:rsidRPr="00190A3C" w:rsidRDefault="00190A3C" w:rsidP="00190A3C">
            <w:pPr>
              <w:spacing w:before="0" w:after="0"/>
              <w:ind w:left="0"/>
              <w:jc w:val="center"/>
              <w:rPr>
                <w:color w:val="000000"/>
                <w:sz w:val="20"/>
              </w:rPr>
            </w:pPr>
            <w:r w:rsidRPr="00190A3C">
              <w:rPr>
                <w:color w:val="000000"/>
                <w:sz w:val="20"/>
              </w:rPr>
              <w:t xml:space="preserve">    2 558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7FFC1BBD" w14:textId="77777777" w:rsidR="00190A3C" w:rsidRPr="00190A3C" w:rsidRDefault="00190A3C" w:rsidP="00190A3C">
            <w:pPr>
              <w:spacing w:before="0" w:after="0"/>
              <w:ind w:left="0"/>
              <w:jc w:val="center"/>
              <w:rPr>
                <w:color w:val="000000"/>
                <w:sz w:val="20"/>
              </w:rPr>
            </w:pPr>
            <w:r w:rsidRPr="00190A3C">
              <w:rPr>
                <w:color w:val="000000"/>
                <w:sz w:val="20"/>
              </w:rPr>
              <w:t xml:space="preserve">    1 841   </w:t>
            </w:r>
          </w:p>
        </w:tc>
      </w:tr>
      <w:tr w:rsidR="00190A3C" w:rsidRPr="00190A3C" w14:paraId="7FFC1BCB" w14:textId="77777777" w:rsidTr="00190A3C">
        <w:trPr>
          <w:trHeight w:val="450"/>
        </w:trPr>
        <w:tc>
          <w:tcPr>
            <w:tcW w:w="3000" w:type="dxa"/>
            <w:vMerge/>
            <w:tcBorders>
              <w:top w:val="nil"/>
              <w:left w:val="single" w:sz="8" w:space="0" w:color="auto"/>
              <w:bottom w:val="single" w:sz="8" w:space="0" w:color="000000"/>
              <w:right w:val="nil"/>
            </w:tcBorders>
            <w:vAlign w:val="center"/>
            <w:hideMark/>
          </w:tcPr>
          <w:p w14:paraId="7FFC1BBF" w14:textId="77777777"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14:paraId="7FFC1BC0" w14:textId="77777777"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14:paraId="7FFC1BC1" w14:textId="77777777"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14:paraId="7FFC1BC2" w14:textId="77777777" w:rsidR="00190A3C" w:rsidRPr="00190A3C" w:rsidRDefault="00190A3C" w:rsidP="00190A3C">
            <w:pPr>
              <w:spacing w:before="0" w:after="0"/>
              <w:ind w:left="0"/>
              <w:jc w:val="center"/>
              <w:rPr>
                <w:color w:val="000000"/>
                <w:sz w:val="20"/>
              </w:rPr>
            </w:pPr>
            <w:r w:rsidRPr="00190A3C">
              <w:rPr>
                <w:color w:val="000000"/>
                <w:sz w:val="20"/>
              </w:rPr>
              <w:t>62%</w:t>
            </w:r>
          </w:p>
        </w:tc>
        <w:tc>
          <w:tcPr>
            <w:tcW w:w="1020" w:type="dxa"/>
            <w:tcBorders>
              <w:top w:val="nil"/>
              <w:left w:val="nil"/>
              <w:bottom w:val="single" w:sz="8" w:space="0" w:color="auto"/>
              <w:right w:val="single" w:sz="4" w:space="0" w:color="auto"/>
            </w:tcBorders>
            <w:shd w:val="clear" w:color="000000" w:fill="E2EFDA"/>
            <w:vAlign w:val="center"/>
            <w:hideMark/>
          </w:tcPr>
          <w:p w14:paraId="7FFC1BC3" w14:textId="77777777" w:rsidR="00190A3C" w:rsidRPr="00190A3C" w:rsidRDefault="00190A3C" w:rsidP="00190A3C">
            <w:pPr>
              <w:spacing w:before="0" w:after="0"/>
              <w:ind w:left="0"/>
              <w:jc w:val="center"/>
              <w:rPr>
                <w:color w:val="000000"/>
                <w:sz w:val="20"/>
              </w:rPr>
            </w:pPr>
            <w:r w:rsidRPr="00190A3C">
              <w:rPr>
                <w:color w:val="000000"/>
                <w:sz w:val="20"/>
              </w:rPr>
              <w:t>55%</w:t>
            </w:r>
          </w:p>
        </w:tc>
        <w:tc>
          <w:tcPr>
            <w:tcW w:w="1020" w:type="dxa"/>
            <w:tcBorders>
              <w:top w:val="nil"/>
              <w:left w:val="nil"/>
              <w:bottom w:val="single" w:sz="8" w:space="0" w:color="auto"/>
              <w:right w:val="single" w:sz="4" w:space="0" w:color="auto"/>
            </w:tcBorders>
            <w:shd w:val="clear" w:color="000000" w:fill="E2EFDA"/>
            <w:vAlign w:val="center"/>
            <w:hideMark/>
          </w:tcPr>
          <w:p w14:paraId="7FFC1BC4" w14:textId="77777777" w:rsidR="00190A3C" w:rsidRPr="00190A3C" w:rsidRDefault="00190A3C" w:rsidP="00190A3C">
            <w:pPr>
              <w:spacing w:before="0" w:after="0"/>
              <w:ind w:left="0"/>
              <w:jc w:val="center"/>
              <w:rPr>
                <w:color w:val="000000"/>
                <w:sz w:val="20"/>
              </w:rPr>
            </w:pPr>
            <w:r w:rsidRPr="00190A3C">
              <w:rPr>
                <w:color w:val="000000"/>
                <w:sz w:val="20"/>
              </w:rPr>
              <w:t>42%</w:t>
            </w:r>
          </w:p>
        </w:tc>
        <w:tc>
          <w:tcPr>
            <w:tcW w:w="1020" w:type="dxa"/>
            <w:tcBorders>
              <w:top w:val="nil"/>
              <w:left w:val="nil"/>
              <w:bottom w:val="single" w:sz="8" w:space="0" w:color="auto"/>
              <w:right w:val="single" w:sz="4" w:space="0" w:color="auto"/>
            </w:tcBorders>
            <w:shd w:val="clear" w:color="000000" w:fill="E2EFDA"/>
            <w:vAlign w:val="center"/>
            <w:hideMark/>
          </w:tcPr>
          <w:p w14:paraId="7FFC1BC5" w14:textId="77777777" w:rsidR="00190A3C" w:rsidRPr="00190A3C" w:rsidRDefault="00190A3C" w:rsidP="00190A3C">
            <w:pPr>
              <w:spacing w:before="0" w:after="0"/>
              <w:ind w:left="0"/>
              <w:jc w:val="center"/>
              <w:rPr>
                <w:color w:val="000000"/>
                <w:sz w:val="20"/>
              </w:rPr>
            </w:pPr>
            <w:r w:rsidRPr="00190A3C">
              <w:rPr>
                <w:color w:val="000000"/>
                <w:sz w:val="20"/>
              </w:rPr>
              <w:t>58%</w:t>
            </w:r>
          </w:p>
        </w:tc>
        <w:tc>
          <w:tcPr>
            <w:tcW w:w="1020" w:type="dxa"/>
            <w:tcBorders>
              <w:top w:val="nil"/>
              <w:left w:val="nil"/>
              <w:bottom w:val="single" w:sz="8" w:space="0" w:color="auto"/>
              <w:right w:val="single" w:sz="4" w:space="0" w:color="auto"/>
            </w:tcBorders>
            <w:shd w:val="clear" w:color="000000" w:fill="E2EFDA"/>
            <w:vAlign w:val="center"/>
            <w:hideMark/>
          </w:tcPr>
          <w:p w14:paraId="7FFC1BC6" w14:textId="77777777" w:rsidR="00190A3C" w:rsidRPr="00190A3C" w:rsidRDefault="00190A3C" w:rsidP="00190A3C">
            <w:pPr>
              <w:spacing w:before="0" w:after="0"/>
              <w:ind w:left="0"/>
              <w:jc w:val="center"/>
              <w:rPr>
                <w:color w:val="000000"/>
                <w:sz w:val="20"/>
              </w:rPr>
            </w:pPr>
            <w:r w:rsidRPr="00190A3C">
              <w:rPr>
                <w:color w:val="000000"/>
                <w:sz w:val="20"/>
              </w:rPr>
              <w:t>61%</w:t>
            </w:r>
          </w:p>
        </w:tc>
        <w:tc>
          <w:tcPr>
            <w:tcW w:w="1020" w:type="dxa"/>
            <w:tcBorders>
              <w:top w:val="nil"/>
              <w:left w:val="nil"/>
              <w:bottom w:val="single" w:sz="8" w:space="0" w:color="auto"/>
              <w:right w:val="single" w:sz="4" w:space="0" w:color="auto"/>
            </w:tcBorders>
            <w:shd w:val="clear" w:color="000000" w:fill="E2EFDA"/>
            <w:vAlign w:val="center"/>
            <w:hideMark/>
          </w:tcPr>
          <w:p w14:paraId="7FFC1BC7" w14:textId="77777777" w:rsidR="00190A3C" w:rsidRPr="00190A3C" w:rsidRDefault="00190A3C" w:rsidP="00190A3C">
            <w:pPr>
              <w:spacing w:before="0" w:after="0"/>
              <w:ind w:left="0"/>
              <w:jc w:val="center"/>
              <w:rPr>
                <w:color w:val="000000"/>
                <w:sz w:val="20"/>
              </w:rPr>
            </w:pPr>
            <w:r w:rsidRPr="00190A3C">
              <w:rPr>
                <w:color w:val="000000"/>
                <w:sz w:val="20"/>
              </w:rPr>
              <w:t>43%</w:t>
            </w:r>
          </w:p>
        </w:tc>
        <w:tc>
          <w:tcPr>
            <w:tcW w:w="1020" w:type="dxa"/>
            <w:tcBorders>
              <w:top w:val="nil"/>
              <w:left w:val="nil"/>
              <w:bottom w:val="single" w:sz="8" w:space="0" w:color="auto"/>
              <w:right w:val="single" w:sz="4" w:space="0" w:color="auto"/>
            </w:tcBorders>
            <w:shd w:val="clear" w:color="000000" w:fill="E2EFDA"/>
            <w:vAlign w:val="center"/>
            <w:hideMark/>
          </w:tcPr>
          <w:p w14:paraId="7FFC1BC8" w14:textId="77777777"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14:paraId="7FFC1BC9" w14:textId="77777777" w:rsidR="00190A3C" w:rsidRPr="00190A3C" w:rsidRDefault="00190A3C" w:rsidP="00190A3C">
            <w:pPr>
              <w:spacing w:before="0" w:after="0"/>
              <w:ind w:left="0"/>
              <w:jc w:val="center"/>
              <w:rPr>
                <w:color w:val="000000"/>
                <w:sz w:val="20"/>
              </w:rPr>
            </w:pPr>
            <w:r w:rsidRPr="00190A3C">
              <w:rPr>
                <w:color w:val="000000"/>
                <w:sz w:val="20"/>
              </w:rPr>
              <w:t>59%</w:t>
            </w:r>
          </w:p>
        </w:tc>
        <w:tc>
          <w:tcPr>
            <w:tcW w:w="1020" w:type="dxa"/>
            <w:tcBorders>
              <w:top w:val="nil"/>
              <w:left w:val="nil"/>
              <w:bottom w:val="single" w:sz="8" w:space="0" w:color="auto"/>
              <w:right w:val="single" w:sz="8" w:space="0" w:color="auto"/>
            </w:tcBorders>
            <w:shd w:val="clear" w:color="000000" w:fill="E2EFDA"/>
            <w:vAlign w:val="center"/>
            <w:hideMark/>
          </w:tcPr>
          <w:p w14:paraId="7FFC1BCA" w14:textId="77777777" w:rsidR="00190A3C" w:rsidRPr="00190A3C" w:rsidRDefault="00190A3C" w:rsidP="00190A3C">
            <w:pPr>
              <w:spacing w:before="0" w:after="0"/>
              <w:ind w:left="0"/>
              <w:jc w:val="center"/>
              <w:rPr>
                <w:color w:val="000000"/>
                <w:sz w:val="20"/>
              </w:rPr>
            </w:pPr>
            <w:r w:rsidRPr="00190A3C">
              <w:rPr>
                <w:color w:val="000000"/>
                <w:sz w:val="20"/>
              </w:rPr>
              <w:t>72%</w:t>
            </w:r>
          </w:p>
        </w:tc>
      </w:tr>
      <w:tr w:rsidR="00190A3C" w:rsidRPr="00190A3C" w14:paraId="7FFC1BD8" w14:textId="77777777"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14:paraId="7FFC1BCC" w14:textId="77777777" w:rsidR="00190A3C" w:rsidRPr="00190A3C" w:rsidRDefault="00190A3C" w:rsidP="00190A3C">
            <w:pPr>
              <w:spacing w:before="0" w:after="0"/>
              <w:ind w:left="0"/>
              <w:jc w:val="left"/>
              <w:rPr>
                <w:color w:val="000000"/>
                <w:sz w:val="20"/>
              </w:rPr>
            </w:pPr>
            <w:r w:rsidRPr="00190A3C">
              <w:rPr>
                <w:color w:val="000000"/>
                <w:sz w:val="20"/>
              </w:rPr>
              <w:t xml:space="preserve">Classe 6202 : </w:t>
            </w:r>
            <w:r w:rsidRPr="00190A3C">
              <w:rPr>
                <w:color w:val="000000"/>
                <w:sz w:val="20"/>
              </w:rPr>
              <w:br/>
              <w:t>Conseil informatique</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14:paraId="7FFC1BCD" w14:textId="77777777"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14:paraId="7FFC1BCE" w14:textId="77777777" w:rsidR="00190A3C" w:rsidRPr="00190A3C" w:rsidRDefault="00190A3C" w:rsidP="00190A3C">
            <w:pPr>
              <w:spacing w:before="0" w:after="0"/>
              <w:ind w:left="0"/>
              <w:jc w:val="center"/>
              <w:rPr>
                <w:color w:val="000000"/>
                <w:sz w:val="20"/>
              </w:rPr>
            </w:pPr>
            <w:r w:rsidRPr="00190A3C">
              <w:rPr>
                <w:color w:val="000000"/>
                <w:sz w:val="20"/>
              </w:rPr>
              <w:t xml:space="preserve">   41 319   </w:t>
            </w:r>
          </w:p>
        </w:tc>
        <w:tc>
          <w:tcPr>
            <w:tcW w:w="1020" w:type="dxa"/>
            <w:tcBorders>
              <w:top w:val="nil"/>
              <w:left w:val="nil"/>
              <w:bottom w:val="single" w:sz="4" w:space="0" w:color="auto"/>
              <w:right w:val="single" w:sz="4" w:space="0" w:color="auto"/>
            </w:tcBorders>
            <w:shd w:val="clear" w:color="auto" w:fill="auto"/>
            <w:vAlign w:val="center"/>
            <w:hideMark/>
          </w:tcPr>
          <w:p w14:paraId="7FFC1BCF" w14:textId="77777777" w:rsidR="00190A3C" w:rsidRPr="00190A3C" w:rsidRDefault="00190A3C" w:rsidP="00190A3C">
            <w:pPr>
              <w:spacing w:before="0" w:after="0"/>
              <w:ind w:left="0"/>
              <w:jc w:val="center"/>
              <w:rPr>
                <w:color w:val="000000"/>
                <w:sz w:val="20"/>
              </w:rPr>
            </w:pPr>
            <w:r w:rsidRPr="00190A3C">
              <w:rPr>
                <w:color w:val="000000"/>
                <w:sz w:val="20"/>
              </w:rPr>
              <w:t xml:space="preserve"> 204 938   </w:t>
            </w:r>
          </w:p>
        </w:tc>
        <w:tc>
          <w:tcPr>
            <w:tcW w:w="1020" w:type="dxa"/>
            <w:tcBorders>
              <w:top w:val="nil"/>
              <w:left w:val="nil"/>
              <w:bottom w:val="single" w:sz="4" w:space="0" w:color="auto"/>
              <w:right w:val="single" w:sz="4" w:space="0" w:color="auto"/>
            </w:tcBorders>
            <w:shd w:val="clear" w:color="auto" w:fill="auto"/>
            <w:vAlign w:val="center"/>
            <w:hideMark/>
          </w:tcPr>
          <w:p w14:paraId="7FFC1BD0" w14:textId="77777777" w:rsidR="00190A3C" w:rsidRPr="00190A3C" w:rsidRDefault="00190A3C" w:rsidP="00190A3C">
            <w:pPr>
              <w:spacing w:before="0" w:after="0"/>
              <w:ind w:left="0"/>
              <w:jc w:val="center"/>
              <w:rPr>
                <w:color w:val="000000"/>
                <w:sz w:val="20"/>
              </w:rPr>
            </w:pPr>
            <w:r w:rsidRPr="00190A3C">
              <w:rPr>
                <w:color w:val="000000"/>
                <w:sz w:val="20"/>
              </w:rPr>
              <w:t xml:space="preserve">   34 046   </w:t>
            </w:r>
          </w:p>
        </w:tc>
        <w:tc>
          <w:tcPr>
            <w:tcW w:w="1020" w:type="dxa"/>
            <w:tcBorders>
              <w:top w:val="nil"/>
              <w:left w:val="nil"/>
              <w:bottom w:val="single" w:sz="4" w:space="0" w:color="auto"/>
              <w:right w:val="single" w:sz="4" w:space="0" w:color="auto"/>
            </w:tcBorders>
            <w:shd w:val="clear" w:color="auto" w:fill="auto"/>
            <w:vAlign w:val="center"/>
            <w:hideMark/>
          </w:tcPr>
          <w:p w14:paraId="7FFC1BD1" w14:textId="77777777" w:rsidR="00190A3C" w:rsidRPr="00190A3C" w:rsidRDefault="00190A3C" w:rsidP="00190A3C">
            <w:pPr>
              <w:spacing w:before="0" w:after="0"/>
              <w:ind w:left="0"/>
              <w:jc w:val="center"/>
              <w:rPr>
                <w:color w:val="000000"/>
                <w:sz w:val="20"/>
              </w:rPr>
            </w:pPr>
            <w:r w:rsidRPr="00190A3C">
              <w:rPr>
                <w:color w:val="000000"/>
                <w:sz w:val="20"/>
              </w:rPr>
              <w:t xml:space="preserve">    3 905   </w:t>
            </w:r>
          </w:p>
        </w:tc>
        <w:tc>
          <w:tcPr>
            <w:tcW w:w="1020" w:type="dxa"/>
            <w:tcBorders>
              <w:top w:val="nil"/>
              <w:left w:val="nil"/>
              <w:bottom w:val="single" w:sz="4" w:space="0" w:color="auto"/>
              <w:right w:val="single" w:sz="4" w:space="0" w:color="auto"/>
            </w:tcBorders>
            <w:shd w:val="clear" w:color="auto" w:fill="auto"/>
            <w:vAlign w:val="center"/>
            <w:hideMark/>
          </w:tcPr>
          <w:p w14:paraId="7FFC1BD2" w14:textId="77777777" w:rsidR="00190A3C" w:rsidRPr="00190A3C" w:rsidRDefault="00190A3C" w:rsidP="00190A3C">
            <w:pPr>
              <w:spacing w:before="0" w:after="0"/>
              <w:ind w:left="0"/>
              <w:jc w:val="center"/>
              <w:rPr>
                <w:color w:val="000000"/>
                <w:sz w:val="20"/>
              </w:rPr>
            </w:pPr>
            <w:r w:rsidRPr="00190A3C">
              <w:rPr>
                <w:color w:val="000000"/>
                <w:sz w:val="20"/>
              </w:rPr>
              <w:t xml:space="preserve">   17 884   </w:t>
            </w:r>
          </w:p>
        </w:tc>
        <w:tc>
          <w:tcPr>
            <w:tcW w:w="1020" w:type="dxa"/>
            <w:tcBorders>
              <w:top w:val="nil"/>
              <w:left w:val="nil"/>
              <w:bottom w:val="single" w:sz="4" w:space="0" w:color="auto"/>
              <w:right w:val="nil"/>
            </w:tcBorders>
            <w:shd w:val="clear" w:color="auto" w:fill="auto"/>
            <w:vAlign w:val="center"/>
            <w:hideMark/>
          </w:tcPr>
          <w:p w14:paraId="7FFC1BD3" w14:textId="77777777" w:rsidR="00190A3C" w:rsidRPr="00190A3C" w:rsidRDefault="00190A3C" w:rsidP="00190A3C">
            <w:pPr>
              <w:spacing w:before="0" w:after="0"/>
              <w:ind w:left="0"/>
              <w:jc w:val="center"/>
              <w:rPr>
                <w:color w:val="000000"/>
                <w:sz w:val="20"/>
              </w:rPr>
            </w:pPr>
            <w:r w:rsidRPr="00190A3C">
              <w:rPr>
                <w:color w:val="000000"/>
                <w:sz w:val="20"/>
              </w:rPr>
              <w:t xml:space="preserve">   15 340   </w:t>
            </w:r>
          </w:p>
        </w:tc>
        <w:tc>
          <w:tcPr>
            <w:tcW w:w="1020" w:type="dxa"/>
            <w:tcBorders>
              <w:top w:val="nil"/>
              <w:left w:val="single" w:sz="4" w:space="0" w:color="auto"/>
              <w:bottom w:val="single" w:sz="4" w:space="0" w:color="auto"/>
              <w:right w:val="nil"/>
            </w:tcBorders>
            <w:shd w:val="clear" w:color="auto" w:fill="auto"/>
            <w:vAlign w:val="center"/>
            <w:hideMark/>
          </w:tcPr>
          <w:p w14:paraId="7FFC1BD4" w14:textId="77777777" w:rsidR="00190A3C" w:rsidRPr="00190A3C" w:rsidRDefault="00190A3C" w:rsidP="00190A3C">
            <w:pPr>
              <w:spacing w:before="0" w:after="0"/>
              <w:ind w:left="0"/>
              <w:jc w:val="center"/>
              <w:rPr>
                <w:color w:val="000000"/>
                <w:sz w:val="20"/>
              </w:rPr>
            </w:pPr>
            <w:r w:rsidRPr="00190A3C">
              <w:rPr>
                <w:color w:val="000000"/>
                <w:sz w:val="20"/>
              </w:rPr>
              <w:t xml:space="preserve">    1 887   </w:t>
            </w:r>
          </w:p>
        </w:tc>
        <w:tc>
          <w:tcPr>
            <w:tcW w:w="1020" w:type="dxa"/>
            <w:tcBorders>
              <w:top w:val="nil"/>
              <w:left w:val="single" w:sz="4" w:space="0" w:color="auto"/>
              <w:bottom w:val="single" w:sz="4" w:space="0" w:color="auto"/>
              <w:right w:val="nil"/>
            </w:tcBorders>
            <w:shd w:val="clear" w:color="auto" w:fill="auto"/>
            <w:vAlign w:val="center"/>
            <w:hideMark/>
          </w:tcPr>
          <w:p w14:paraId="7FFC1BD5" w14:textId="77777777" w:rsidR="00190A3C" w:rsidRPr="00190A3C" w:rsidRDefault="00190A3C" w:rsidP="00190A3C">
            <w:pPr>
              <w:spacing w:before="0" w:after="0"/>
              <w:ind w:left="0"/>
              <w:jc w:val="center"/>
              <w:rPr>
                <w:color w:val="000000"/>
                <w:sz w:val="20"/>
              </w:rPr>
            </w:pPr>
            <w:r w:rsidRPr="00190A3C">
              <w:rPr>
                <w:color w:val="000000"/>
                <w:sz w:val="20"/>
              </w:rPr>
              <w:t xml:space="preserve">    2 142   </w:t>
            </w:r>
          </w:p>
        </w:tc>
        <w:tc>
          <w:tcPr>
            <w:tcW w:w="1020" w:type="dxa"/>
            <w:tcBorders>
              <w:top w:val="nil"/>
              <w:left w:val="single" w:sz="4" w:space="0" w:color="auto"/>
              <w:bottom w:val="single" w:sz="4" w:space="0" w:color="auto"/>
              <w:right w:val="nil"/>
            </w:tcBorders>
            <w:shd w:val="clear" w:color="auto" w:fill="auto"/>
            <w:vAlign w:val="center"/>
            <w:hideMark/>
          </w:tcPr>
          <w:p w14:paraId="7FFC1BD6" w14:textId="77777777" w:rsidR="00190A3C" w:rsidRPr="00190A3C" w:rsidRDefault="00190A3C" w:rsidP="00190A3C">
            <w:pPr>
              <w:spacing w:before="0" w:after="0"/>
              <w:ind w:left="0"/>
              <w:jc w:val="center"/>
              <w:rPr>
                <w:color w:val="000000"/>
                <w:sz w:val="20"/>
              </w:rPr>
            </w:pPr>
            <w:r w:rsidRPr="00190A3C">
              <w:rPr>
                <w:color w:val="000000"/>
                <w:sz w:val="20"/>
              </w:rPr>
              <w:t xml:space="preserve">    1 831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7FFC1BD7" w14:textId="77777777" w:rsidR="00190A3C" w:rsidRPr="00190A3C" w:rsidRDefault="00190A3C" w:rsidP="00190A3C">
            <w:pPr>
              <w:spacing w:before="0" w:after="0"/>
              <w:ind w:left="0"/>
              <w:jc w:val="center"/>
              <w:rPr>
                <w:color w:val="000000"/>
                <w:sz w:val="20"/>
              </w:rPr>
            </w:pPr>
            <w:r w:rsidRPr="00190A3C">
              <w:rPr>
                <w:color w:val="000000"/>
                <w:sz w:val="20"/>
              </w:rPr>
              <w:t xml:space="preserve">    1 608   </w:t>
            </w:r>
          </w:p>
        </w:tc>
      </w:tr>
      <w:tr w:rsidR="00190A3C" w:rsidRPr="00190A3C" w14:paraId="7FFC1BE5" w14:textId="77777777" w:rsidTr="00190A3C">
        <w:trPr>
          <w:trHeight w:val="450"/>
        </w:trPr>
        <w:tc>
          <w:tcPr>
            <w:tcW w:w="3000" w:type="dxa"/>
            <w:vMerge/>
            <w:tcBorders>
              <w:top w:val="nil"/>
              <w:left w:val="single" w:sz="8" w:space="0" w:color="auto"/>
              <w:bottom w:val="single" w:sz="8" w:space="0" w:color="000000"/>
              <w:right w:val="nil"/>
            </w:tcBorders>
            <w:vAlign w:val="center"/>
            <w:hideMark/>
          </w:tcPr>
          <w:p w14:paraId="7FFC1BD9" w14:textId="77777777"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14:paraId="7FFC1BDA" w14:textId="77777777"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14:paraId="7FFC1BDB" w14:textId="77777777" w:rsidR="00190A3C" w:rsidRPr="00190A3C" w:rsidRDefault="00190A3C" w:rsidP="00190A3C">
            <w:pPr>
              <w:spacing w:before="0" w:after="0"/>
              <w:ind w:left="0"/>
              <w:jc w:val="center"/>
              <w:rPr>
                <w:color w:val="000000"/>
                <w:sz w:val="20"/>
              </w:rPr>
            </w:pPr>
            <w:r w:rsidRPr="00190A3C">
              <w:rPr>
                <w:color w:val="000000"/>
                <w:sz w:val="20"/>
              </w:rPr>
              <w:t>92%</w:t>
            </w:r>
          </w:p>
        </w:tc>
        <w:tc>
          <w:tcPr>
            <w:tcW w:w="1020" w:type="dxa"/>
            <w:tcBorders>
              <w:top w:val="nil"/>
              <w:left w:val="nil"/>
              <w:bottom w:val="single" w:sz="8" w:space="0" w:color="auto"/>
              <w:right w:val="single" w:sz="4" w:space="0" w:color="auto"/>
            </w:tcBorders>
            <w:shd w:val="clear" w:color="000000" w:fill="E2EFDA"/>
            <w:vAlign w:val="center"/>
            <w:hideMark/>
          </w:tcPr>
          <w:p w14:paraId="7FFC1BDC" w14:textId="77777777" w:rsidR="00190A3C" w:rsidRPr="00190A3C" w:rsidRDefault="00190A3C" w:rsidP="00190A3C">
            <w:pPr>
              <w:spacing w:before="0" w:after="0"/>
              <w:ind w:left="0"/>
              <w:jc w:val="center"/>
              <w:rPr>
                <w:color w:val="000000"/>
                <w:sz w:val="20"/>
              </w:rPr>
            </w:pPr>
            <w:r w:rsidRPr="00190A3C">
              <w:rPr>
                <w:color w:val="000000"/>
                <w:sz w:val="20"/>
              </w:rPr>
              <w:t>90%</w:t>
            </w:r>
          </w:p>
        </w:tc>
        <w:tc>
          <w:tcPr>
            <w:tcW w:w="1020" w:type="dxa"/>
            <w:tcBorders>
              <w:top w:val="nil"/>
              <w:left w:val="nil"/>
              <w:bottom w:val="single" w:sz="8" w:space="0" w:color="auto"/>
              <w:right w:val="single" w:sz="4" w:space="0" w:color="auto"/>
            </w:tcBorders>
            <w:shd w:val="clear" w:color="000000" w:fill="E2EFDA"/>
            <w:vAlign w:val="center"/>
            <w:hideMark/>
          </w:tcPr>
          <w:p w14:paraId="7FFC1BDD" w14:textId="77777777" w:rsidR="00190A3C" w:rsidRPr="00190A3C" w:rsidRDefault="00190A3C" w:rsidP="00190A3C">
            <w:pPr>
              <w:spacing w:before="0" w:after="0"/>
              <w:ind w:left="0"/>
              <w:jc w:val="center"/>
              <w:rPr>
                <w:color w:val="000000"/>
                <w:sz w:val="20"/>
              </w:rPr>
            </w:pPr>
            <w:r w:rsidRPr="00190A3C">
              <w:rPr>
                <w:color w:val="000000"/>
                <w:sz w:val="20"/>
              </w:rPr>
              <w:t>86%</w:t>
            </w:r>
          </w:p>
        </w:tc>
        <w:tc>
          <w:tcPr>
            <w:tcW w:w="1020" w:type="dxa"/>
            <w:tcBorders>
              <w:top w:val="nil"/>
              <w:left w:val="nil"/>
              <w:bottom w:val="single" w:sz="8" w:space="0" w:color="auto"/>
              <w:right w:val="single" w:sz="4" w:space="0" w:color="auto"/>
            </w:tcBorders>
            <w:shd w:val="clear" w:color="000000" w:fill="E2EFDA"/>
            <w:vAlign w:val="center"/>
            <w:hideMark/>
          </w:tcPr>
          <w:p w14:paraId="7FFC1BDE" w14:textId="77777777" w:rsidR="00190A3C" w:rsidRPr="00190A3C" w:rsidRDefault="00190A3C" w:rsidP="00190A3C">
            <w:pPr>
              <w:spacing w:before="0" w:after="0"/>
              <w:ind w:left="0"/>
              <w:jc w:val="center"/>
              <w:rPr>
                <w:color w:val="000000"/>
                <w:sz w:val="20"/>
              </w:rPr>
            </w:pPr>
            <w:r w:rsidRPr="00190A3C">
              <w:rPr>
                <w:color w:val="000000"/>
                <w:sz w:val="20"/>
              </w:rPr>
              <w:t>75%</w:t>
            </w:r>
          </w:p>
        </w:tc>
        <w:tc>
          <w:tcPr>
            <w:tcW w:w="1020" w:type="dxa"/>
            <w:tcBorders>
              <w:top w:val="nil"/>
              <w:left w:val="nil"/>
              <w:bottom w:val="single" w:sz="8" w:space="0" w:color="auto"/>
              <w:right w:val="single" w:sz="4" w:space="0" w:color="auto"/>
            </w:tcBorders>
            <w:shd w:val="clear" w:color="000000" w:fill="E2EFDA"/>
            <w:vAlign w:val="center"/>
            <w:hideMark/>
          </w:tcPr>
          <w:p w14:paraId="7FFC1BDF" w14:textId="77777777" w:rsidR="00190A3C" w:rsidRPr="00190A3C" w:rsidRDefault="00190A3C" w:rsidP="00190A3C">
            <w:pPr>
              <w:spacing w:before="0" w:after="0"/>
              <w:ind w:left="0"/>
              <w:jc w:val="center"/>
              <w:rPr>
                <w:color w:val="000000"/>
                <w:sz w:val="20"/>
              </w:rPr>
            </w:pPr>
            <w:r w:rsidRPr="00190A3C">
              <w:rPr>
                <w:color w:val="000000"/>
                <w:sz w:val="20"/>
              </w:rPr>
              <w:t>89%</w:t>
            </w:r>
          </w:p>
        </w:tc>
        <w:tc>
          <w:tcPr>
            <w:tcW w:w="1020" w:type="dxa"/>
            <w:tcBorders>
              <w:top w:val="nil"/>
              <w:left w:val="nil"/>
              <w:bottom w:val="single" w:sz="8" w:space="0" w:color="auto"/>
              <w:right w:val="single" w:sz="4" w:space="0" w:color="auto"/>
            </w:tcBorders>
            <w:shd w:val="clear" w:color="000000" w:fill="E2EFDA"/>
            <w:vAlign w:val="center"/>
            <w:hideMark/>
          </w:tcPr>
          <w:p w14:paraId="7FFC1BE0" w14:textId="77777777" w:rsidR="00190A3C" w:rsidRPr="00190A3C" w:rsidRDefault="00190A3C" w:rsidP="00190A3C">
            <w:pPr>
              <w:spacing w:before="0" w:after="0"/>
              <w:ind w:left="0"/>
              <w:jc w:val="center"/>
              <w:rPr>
                <w:color w:val="000000"/>
                <w:sz w:val="20"/>
              </w:rPr>
            </w:pPr>
            <w:r w:rsidRPr="00190A3C">
              <w:rPr>
                <w:color w:val="000000"/>
                <w:sz w:val="20"/>
              </w:rPr>
              <w:t>90%</w:t>
            </w:r>
          </w:p>
        </w:tc>
        <w:tc>
          <w:tcPr>
            <w:tcW w:w="1020" w:type="dxa"/>
            <w:tcBorders>
              <w:top w:val="nil"/>
              <w:left w:val="nil"/>
              <w:bottom w:val="single" w:sz="8" w:space="0" w:color="auto"/>
              <w:right w:val="single" w:sz="4" w:space="0" w:color="auto"/>
            </w:tcBorders>
            <w:shd w:val="clear" w:color="000000" w:fill="E2EFDA"/>
            <w:vAlign w:val="center"/>
            <w:hideMark/>
          </w:tcPr>
          <w:p w14:paraId="7FFC1BE1" w14:textId="77777777" w:rsidR="00190A3C" w:rsidRPr="00190A3C" w:rsidRDefault="00190A3C" w:rsidP="00190A3C">
            <w:pPr>
              <w:spacing w:before="0" w:after="0"/>
              <w:ind w:left="0"/>
              <w:jc w:val="center"/>
              <w:rPr>
                <w:color w:val="000000"/>
                <w:sz w:val="20"/>
              </w:rPr>
            </w:pPr>
            <w:r w:rsidRPr="00190A3C">
              <w:rPr>
                <w:color w:val="000000"/>
                <w:sz w:val="20"/>
              </w:rPr>
              <w:t>83%</w:t>
            </w:r>
          </w:p>
        </w:tc>
        <w:tc>
          <w:tcPr>
            <w:tcW w:w="1020" w:type="dxa"/>
            <w:tcBorders>
              <w:top w:val="nil"/>
              <w:left w:val="nil"/>
              <w:bottom w:val="single" w:sz="8" w:space="0" w:color="auto"/>
              <w:right w:val="single" w:sz="4" w:space="0" w:color="auto"/>
            </w:tcBorders>
            <w:shd w:val="clear" w:color="000000" w:fill="E2EFDA"/>
            <w:vAlign w:val="center"/>
            <w:hideMark/>
          </w:tcPr>
          <w:p w14:paraId="7FFC1BE2" w14:textId="77777777" w:rsidR="00190A3C" w:rsidRPr="00190A3C" w:rsidRDefault="00190A3C" w:rsidP="00190A3C">
            <w:pPr>
              <w:spacing w:before="0" w:after="0"/>
              <w:ind w:left="0"/>
              <w:jc w:val="center"/>
              <w:rPr>
                <w:color w:val="000000"/>
                <w:sz w:val="20"/>
              </w:rPr>
            </w:pPr>
            <w:r w:rsidRPr="00190A3C">
              <w:rPr>
                <w:color w:val="000000"/>
                <w:sz w:val="20"/>
              </w:rPr>
              <w:t>84%</w:t>
            </w:r>
          </w:p>
        </w:tc>
        <w:tc>
          <w:tcPr>
            <w:tcW w:w="1020" w:type="dxa"/>
            <w:tcBorders>
              <w:top w:val="nil"/>
              <w:left w:val="nil"/>
              <w:bottom w:val="single" w:sz="8" w:space="0" w:color="auto"/>
              <w:right w:val="single" w:sz="4" w:space="0" w:color="auto"/>
            </w:tcBorders>
            <w:shd w:val="clear" w:color="000000" w:fill="E2EFDA"/>
            <w:vAlign w:val="center"/>
            <w:hideMark/>
          </w:tcPr>
          <w:p w14:paraId="7FFC1BE3" w14:textId="77777777" w:rsidR="00190A3C" w:rsidRPr="00190A3C" w:rsidRDefault="00190A3C" w:rsidP="00190A3C">
            <w:pPr>
              <w:spacing w:before="0" w:after="0"/>
              <w:ind w:left="0"/>
              <w:jc w:val="center"/>
              <w:rPr>
                <w:color w:val="000000"/>
                <w:sz w:val="20"/>
              </w:rPr>
            </w:pPr>
            <w:r w:rsidRPr="00190A3C">
              <w:rPr>
                <w:color w:val="000000"/>
                <w:sz w:val="20"/>
              </w:rPr>
              <w:t>82%</w:t>
            </w:r>
          </w:p>
        </w:tc>
        <w:tc>
          <w:tcPr>
            <w:tcW w:w="1020" w:type="dxa"/>
            <w:tcBorders>
              <w:top w:val="nil"/>
              <w:left w:val="nil"/>
              <w:bottom w:val="single" w:sz="8" w:space="0" w:color="auto"/>
              <w:right w:val="single" w:sz="8" w:space="0" w:color="auto"/>
            </w:tcBorders>
            <w:shd w:val="clear" w:color="000000" w:fill="E2EFDA"/>
            <w:vAlign w:val="center"/>
            <w:hideMark/>
          </w:tcPr>
          <w:p w14:paraId="7FFC1BE4" w14:textId="77777777" w:rsidR="00190A3C" w:rsidRPr="00190A3C" w:rsidRDefault="00190A3C" w:rsidP="00190A3C">
            <w:pPr>
              <w:spacing w:before="0" w:after="0"/>
              <w:ind w:left="0"/>
              <w:jc w:val="center"/>
              <w:rPr>
                <w:color w:val="000000"/>
                <w:sz w:val="20"/>
              </w:rPr>
            </w:pPr>
            <w:r w:rsidRPr="00190A3C">
              <w:rPr>
                <w:color w:val="000000"/>
                <w:sz w:val="20"/>
              </w:rPr>
              <w:t>83%</w:t>
            </w:r>
          </w:p>
        </w:tc>
      </w:tr>
      <w:tr w:rsidR="00190A3C" w:rsidRPr="00190A3C" w14:paraId="7FFC1BF2" w14:textId="77777777"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14:paraId="7FFC1BE6" w14:textId="77777777" w:rsidR="00190A3C" w:rsidRPr="00190A3C" w:rsidRDefault="00190A3C" w:rsidP="00190A3C">
            <w:pPr>
              <w:spacing w:before="0" w:after="0"/>
              <w:ind w:left="0"/>
              <w:jc w:val="left"/>
              <w:rPr>
                <w:color w:val="000000"/>
                <w:sz w:val="20"/>
              </w:rPr>
            </w:pPr>
            <w:r w:rsidRPr="00190A3C">
              <w:rPr>
                <w:color w:val="000000"/>
                <w:sz w:val="20"/>
              </w:rPr>
              <w:t xml:space="preserve">Sous-Classe 6202A : </w:t>
            </w:r>
            <w:r w:rsidRPr="00190A3C">
              <w:rPr>
                <w:color w:val="000000"/>
                <w:sz w:val="20"/>
              </w:rPr>
              <w:br/>
              <w:t>Conseil en systèmes et logiciels informatiques</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14:paraId="7FFC1BE7" w14:textId="77777777"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14:paraId="7FFC1BE8" w14:textId="77777777" w:rsidR="00190A3C" w:rsidRPr="00190A3C" w:rsidRDefault="00190A3C" w:rsidP="00190A3C">
            <w:pPr>
              <w:spacing w:before="0" w:after="0"/>
              <w:ind w:left="0"/>
              <w:jc w:val="center"/>
              <w:rPr>
                <w:color w:val="000000"/>
                <w:sz w:val="20"/>
              </w:rPr>
            </w:pPr>
            <w:r w:rsidRPr="00190A3C">
              <w:rPr>
                <w:color w:val="000000"/>
                <w:sz w:val="20"/>
              </w:rPr>
              <w:t xml:space="preserve">   38 196   </w:t>
            </w:r>
          </w:p>
        </w:tc>
        <w:tc>
          <w:tcPr>
            <w:tcW w:w="1020" w:type="dxa"/>
            <w:tcBorders>
              <w:top w:val="nil"/>
              <w:left w:val="nil"/>
              <w:bottom w:val="single" w:sz="4" w:space="0" w:color="auto"/>
              <w:right w:val="single" w:sz="4" w:space="0" w:color="auto"/>
            </w:tcBorders>
            <w:shd w:val="clear" w:color="auto" w:fill="auto"/>
            <w:vAlign w:val="center"/>
            <w:hideMark/>
          </w:tcPr>
          <w:p w14:paraId="7FFC1BE9" w14:textId="77777777" w:rsidR="00190A3C" w:rsidRPr="00190A3C" w:rsidRDefault="00190A3C" w:rsidP="00190A3C">
            <w:pPr>
              <w:spacing w:before="0" w:after="0"/>
              <w:ind w:left="0"/>
              <w:jc w:val="center"/>
              <w:rPr>
                <w:color w:val="000000"/>
                <w:sz w:val="20"/>
              </w:rPr>
            </w:pPr>
            <w:r w:rsidRPr="00190A3C">
              <w:rPr>
                <w:color w:val="000000"/>
                <w:sz w:val="20"/>
              </w:rPr>
              <w:t xml:space="preserve"> 185 361   </w:t>
            </w:r>
          </w:p>
        </w:tc>
        <w:tc>
          <w:tcPr>
            <w:tcW w:w="1020" w:type="dxa"/>
            <w:tcBorders>
              <w:top w:val="nil"/>
              <w:left w:val="nil"/>
              <w:bottom w:val="single" w:sz="4" w:space="0" w:color="auto"/>
              <w:right w:val="single" w:sz="4" w:space="0" w:color="auto"/>
            </w:tcBorders>
            <w:shd w:val="clear" w:color="auto" w:fill="auto"/>
            <w:vAlign w:val="center"/>
            <w:hideMark/>
          </w:tcPr>
          <w:p w14:paraId="7FFC1BEA" w14:textId="77777777" w:rsidR="00190A3C" w:rsidRPr="00190A3C" w:rsidRDefault="00190A3C" w:rsidP="00190A3C">
            <w:pPr>
              <w:spacing w:before="0" w:after="0"/>
              <w:ind w:left="0"/>
              <w:jc w:val="center"/>
              <w:rPr>
                <w:color w:val="000000"/>
                <w:sz w:val="20"/>
              </w:rPr>
            </w:pPr>
            <w:r w:rsidRPr="00190A3C">
              <w:rPr>
                <w:color w:val="000000"/>
                <w:sz w:val="20"/>
              </w:rPr>
              <w:t xml:space="preserve">   29 227   </w:t>
            </w:r>
          </w:p>
        </w:tc>
        <w:tc>
          <w:tcPr>
            <w:tcW w:w="1020" w:type="dxa"/>
            <w:tcBorders>
              <w:top w:val="nil"/>
              <w:left w:val="nil"/>
              <w:bottom w:val="single" w:sz="4" w:space="0" w:color="auto"/>
              <w:right w:val="single" w:sz="4" w:space="0" w:color="auto"/>
            </w:tcBorders>
            <w:shd w:val="clear" w:color="auto" w:fill="auto"/>
            <w:vAlign w:val="center"/>
            <w:hideMark/>
          </w:tcPr>
          <w:p w14:paraId="7FFC1BEB" w14:textId="77777777" w:rsidR="00190A3C" w:rsidRPr="00190A3C" w:rsidRDefault="00190A3C" w:rsidP="00190A3C">
            <w:pPr>
              <w:spacing w:before="0" w:after="0"/>
              <w:ind w:left="0"/>
              <w:jc w:val="center"/>
              <w:rPr>
                <w:color w:val="000000"/>
                <w:sz w:val="20"/>
              </w:rPr>
            </w:pPr>
            <w:r w:rsidRPr="00190A3C">
              <w:rPr>
                <w:color w:val="000000"/>
                <w:sz w:val="20"/>
              </w:rPr>
              <w:t xml:space="preserve">    2 939   </w:t>
            </w:r>
          </w:p>
        </w:tc>
        <w:tc>
          <w:tcPr>
            <w:tcW w:w="1020" w:type="dxa"/>
            <w:tcBorders>
              <w:top w:val="nil"/>
              <w:left w:val="nil"/>
              <w:bottom w:val="single" w:sz="4" w:space="0" w:color="auto"/>
              <w:right w:val="single" w:sz="4" w:space="0" w:color="auto"/>
            </w:tcBorders>
            <w:shd w:val="clear" w:color="auto" w:fill="auto"/>
            <w:vAlign w:val="center"/>
            <w:hideMark/>
          </w:tcPr>
          <w:p w14:paraId="7FFC1BEC" w14:textId="77777777" w:rsidR="00190A3C" w:rsidRPr="00190A3C" w:rsidRDefault="00190A3C" w:rsidP="00190A3C">
            <w:pPr>
              <w:spacing w:before="0" w:after="0"/>
              <w:ind w:left="0"/>
              <w:jc w:val="center"/>
              <w:rPr>
                <w:color w:val="000000"/>
                <w:sz w:val="20"/>
              </w:rPr>
            </w:pPr>
            <w:r w:rsidRPr="00190A3C">
              <w:rPr>
                <w:color w:val="000000"/>
                <w:sz w:val="20"/>
              </w:rPr>
              <w:t xml:space="preserve">   15 849   </w:t>
            </w:r>
          </w:p>
        </w:tc>
        <w:tc>
          <w:tcPr>
            <w:tcW w:w="1020" w:type="dxa"/>
            <w:tcBorders>
              <w:top w:val="nil"/>
              <w:left w:val="nil"/>
              <w:bottom w:val="single" w:sz="4" w:space="0" w:color="auto"/>
              <w:right w:val="nil"/>
            </w:tcBorders>
            <w:shd w:val="clear" w:color="auto" w:fill="auto"/>
            <w:vAlign w:val="center"/>
            <w:hideMark/>
          </w:tcPr>
          <w:p w14:paraId="7FFC1BED" w14:textId="77777777" w:rsidR="00190A3C" w:rsidRPr="00190A3C" w:rsidRDefault="00190A3C" w:rsidP="00190A3C">
            <w:pPr>
              <w:spacing w:before="0" w:after="0"/>
              <w:ind w:left="0"/>
              <w:jc w:val="center"/>
              <w:rPr>
                <w:color w:val="000000"/>
                <w:sz w:val="20"/>
              </w:rPr>
            </w:pPr>
            <w:r w:rsidRPr="00190A3C">
              <w:rPr>
                <w:color w:val="000000"/>
                <w:sz w:val="20"/>
              </w:rPr>
              <w:t xml:space="preserve">   13 733   </w:t>
            </w:r>
          </w:p>
        </w:tc>
        <w:tc>
          <w:tcPr>
            <w:tcW w:w="1020" w:type="dxa"/>
            <w:tcBorders>
              <w:top w:val="nil"/>
              <w:left w:val="single" w:sz="4" w:space="0" w:color="auto"/>
              <w:bottom w:val="single" w:sz="4" w:space="0" w:color="auto"/>
              <w:right w:val="nil"/>
            </w:tcBorders>
            <w:shd w:val="clear" w:color="auto" w:fill="auto"/>
            <w:vAlign w:val="center"/>
            <w:hideMark/>
          </w:tcPr>
          <w:p w14:paraId="7FFC1BEE" w14:textId="77777777" w:rsidR="00190A3C" w:rsidRPr="00190A3C" w:rsidRDefault="00190A3C" w:rsidP="00190A3C">
            <w:pPr>
              <w:spacing w:before="0" w:after="0"/>
              <w:ind w:left="0"/>
              <w:jc w:val="center"/>
              <w:rPr>
                <w:color w:val="000000"/>
                <w:sz w:val="20"/>
              </w:rPr>
            </w:pPr>
            <w:r w:rsidRPr="00190A3C">
              <w:rPr>
                <w:color w:val="000000"/>
                <w:sz w:val="20"/>
              </w:rPr>
              <w:t xml:space="preserve">    1 567   </w:t>
            </w:r>
          </w:p>
        </w:tc>
        <w:tc>
          <w:tcPr>
            <w:tcW w:w="1020" w:type="dxa"/>
            <w:tcBorders>
              <w:top w:val="nil"/>
              <w:left w:val="single" w:sz="4" w:space="0" w:color="auto"/>
              <w:bottom w:val="single" w:sz="4" w:space="0" w:color="auto"/>
              <w:right w:val="nil"/>
            </w:tcBorders>
            <w:shd w:val="clear" w:color="000000" w:fill="FFE699"/>
            <w:vAlign w:val="center"/>
            <w:hideMark/>
          </w:tcPr>
          <w:p w14:paraId="7FFC1BEF" w14:textId="77777777" w:rsidR="00190A3C" w:rsidRPr="00190A3C" w:rsidRDefault="00190A3C" w:rsidP="00190A3C">
            <w:pPr>
              <w:spacing w:before="0" w:after="0"/>
              <w:ind w:left="0"/>
              <w:jc w:val="center"/>
              <w:rPr>
                <w:color w:val="000000"/>
                <w:sz w:val="20"/>
              </w:rPr>
            </w:pPr>
            <w:r w:rsidRPr="00190A3C">
              <w:rPr>
                <w:color w:val="000000"/>
                <w:sz w:val="20"/>
              </w:rPr>
              <w:t xml:space="preserve">    1 790   </w:t>
            </w:r>
          </w:p>
        </w:tc>
        <w:tc>
          <w:tcPr>
            <w:tcW w:w="1020" w:type="dxa"/>
            <w:tcBorders>
              <w:top w:val="nil"/>
              <w:left w:val="single" w:sz="4" w:space="0" w:color="auto"/>
              <w:bottom w:val="single" w:sz="4" w:space="0" w:color="auto"/>
              <w:right w:val="nil"/>
            </w:tcBorders>
            <w:shd w:val="clear" w:color="auto" w:fill="auto"/>
            <w:vAlign w:val="center"/>
            <w:hideMark/>
          </w:tcPr>
          <w:p w14:paraId="7FFC1BF0" w14:textId="77777777" w:rsidR="00190A3C" w:rsidRPr="00190A3C" w:rsidRDefault="00190A3C" w:rsidP="00190A3C">
            <w:pPr>
              <w:spacing w:before="0" w:after="0"/>
              <w:ind w:left="0"/>
              <w:jc w:val="center"/>
              <w:rPr>
                <w:color w:val="000000"/>
                <w:sz w:val="20"/>
              </w:rPr>
            </w:pPr>
            <w:r w:rsidRPr="00190A3C">
              <w:rPr>
                <w:color w:val="000000"/>
                <w:sz w:val="20"/>
              </w:rPr>
              <w:t xml:space="preserve">    1 497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7FFC1BF1" w14:textId="77777777" w:rsidR="00190A3C" w:rsidRPr="00190A3C" w:rsidRDefault="00190A3C" w:rsidP="00190A3C">
            <w:pPr>
              <w:spacing w:before="0" w:after="0"/>
              <w:ind w:left="0"/>
              <w:jc w:val="center"/>
              <w:rPr>
                <w:color w:val="000000"/>
                <w:sz w:val="20"/>
              </w:rPr>
            </w:pPr>
            <w:r w:rsidRPr="00190A3C">
              <w:rPr>
                <w:color w:val="000000"/>
                <w:sz w:val="20"/>
              </w:rPr>
              <w:t xml:space="preserve">    1 331   </w:t>
            </w:r>
          </w:p>
        </w:tc>
      </w:tr>
      <w:tr w:rsidR="00190A3C" w:rsidRPr="00190A3C" w14:paraId="7FFC1BFF" w14:textId="77777777" w:rsidTr="00190A3C">
        <w:trPr>
          <w:trHeight w:val="450"/>
        </w:trPr>
        <w:tc>
          <w:tcPr>
            <w:tcW w:w="3000" w:type="dxa"/>
            <w:vMerge/>
            <w:tcBorders>
              <w:top w:val="nil"/>
              <w:left w:val="single" w:sz="8" w:space="0" w:color="auto"/>
              <w:bottom w:val="single" w:sz="8" w:space="0" w:color="000000"/>
              <w:right w:val="nil"/>
            </w:tcBorders>
            <w:vAlign w:val="center"/>
            <w:hideMark/>
          </w:tcPr>
          <w:p w14:paraId="7FFC1BF3" w14:textId="77777777"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14:paraId="7FFC1BF4" w14:textId="77777777"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14:paraId="7FFC1BF5"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6"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7"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8"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9"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A"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B"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C"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14:paraId="7FFC1BFD" w14:textId="77777777"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8" w:space="0" w:color="auto"/>
            </w:tcBorders>
            <w:shd w:val="clear" w:color="000000" w:fill="E2EFDA"/>
            <w:vAlign w:val="center"/>
            <w:hideMark/>
          </w:tcPr>
          <w:p w14:paraId="7FFC1BFE" w14:textId="77777777" w:rsidR="00190A3C" w:rsidRPr="00190A3C" w:rsidRDefault="00190A3C" w:rsidP="00190A3C">
            <w:pPr>
              <w:spacing w:before="0" w:after="0"/>
              <w:ind w:left="0"/>
              <w:jc w:val="center"/>
              <w:rPr>
                <w:color w:val="000000"/>
                <w:sz w:val="20"/>
              </w:rPr>
            </w:pPr>
            <w:r w:rsidRPr="00190A3C">
              <w:rPr>
                <w:color w:val="000000"/>
                <w:sz w:val="20"/>
              </w:rPr>
              <w:t>100%</w:t>
            </w:r>
          </w:p>
        </w:tc>
      </w:tr>
    </w:tbl>
    <w:p w14:paraId="7FFC1C00" w14:textId="77777777" w:rsidR="00E2533D" w:rsidRDefault="00190A3C">
      <w:pPr>
        <w:spacing w:before="0" w:after="0"/>
        <w:ind w:left="0"/>
        <w:jc w:val="left"/>
      </w:pPr>
      <w:r>
        <w:t xml:space="preserve">Source : INSEE </w:t>
      </w:r>
    </w:p>
    <w:p w14:paraId="7FFC1C01" w14:textId="77777777" w:rsidR="00190A3C" w:rsidRDefault="00190A3C">
      <w:pPr>
        <w:spacing w:before="0" w:after="0"/>
        <w:ind w:left="0"/>
        <w:jc w:val="left"/>
      </w:pPr>
    </w:p>
    <w:p w14:paraId="7FFC1C02" w14:textId="77777777" w:rsidR="00190A3C" w:rsidRDefault="00190A3C" w:rsidP="00190A3C">
      <w:pPr>
        <w:spacing w:before="0" w:after="0"/>
        <w:ind w:left="0"/>
        <w:jc w:val="left"/>
      </w:pPr>
      <w:r>
        <w:t xml:space="preserve">La valeur de la CAF au niveau de sous-classe n’est pas disponible à l’INSEE et a été estimée à partir des données DIANE. </w:t>
      </w:r>
    </w:p>
    <w:p w14:paraId="7FFC1C03" w14:textId="2695ADBE" w:rsidR="00E2533D" w:rsidRDefault="00E51A1C" w:rsidP="00E2533D">
      <w:r>
        <w:rPr>
          <w:noProof/>
        </w:rPr>
        <w:lastRenderedPageBreak/>
        <mc:AlternateContent>
          <mc:Choice Requires="wps">
            <w:drawing>
              <wp:anchor distT="0" distB="0" distL="114300" distR="114300" simplePos="0" relativeHeight="251672064" behindDoc="0" locked="0" layoutInCell="1" allowOverlap="1" wp14:anchorId="7FFC1E2C" wp14:editId="706D279D">
                <wp:simplePos x="0" y="0"/>
                <wp:positionH relativeFrom="column">
                  <wp:posOffset>-57785</wp:posOffset>
                </wp:positionH>
                <wp:positionV relativeFrom="paragraph">
                  <wp:posOffset>5806440</wp:posOffset>
                </wp:positionV>
                <wp:extent cx="8849995" cy="298450"/>
                <wp:effectExtent l="0" t="0" r="3175" b="0"/>
                <wp:wrapTight wrapText="bothSides">
                  <wp:wrapPolygon edited="0">
                    <wp:start x="-22" y="0"/>
                    <wp:lineTo x="-22" y="20957"/>
                    <wp:lineTo x="21600" y="20957"/>
                    <wp:lineTo x="21600" y="0"/>
                    <wp:lineTo x="-22" y="0"/>
                  </wp:wrapPolygon>
                </wp:wrapTight>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9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9" w14:textId="77777777" w:rsidR="00CB4331" w:rsidRPr="00E631D1" w:rsidRDefault="00CB4331" w:rsidP="00E2533D">
                            <w:pPr>
                              <w:pStyle w:val="Caption"/>
                              <w:rPr>
                                <w:noProof/>
                              </w:rPr>
                            </w:pPr>
                            <w:r>
                              <w:t xml:space="preserve">Graphique  </w:t>
                            </w:r>
                            <w:fldSimple w:instr=" SEQ Graphique_ \* ARABIC ">
                              <w:r>
                                <w:rPr>
                                  <w:noProof/>
                                </w:rPr>
                                <w:t>7</w:t>
                              </w:r>
                            </w:fldSimple>
                            <w:r>
                              <w:t xml:space="preserve"> : évolution de la part du secteur de conseil informatique dans le marché des TIC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2C" id="Text Box 21" o:spid="_x0000_s1031" type="#_x0000_t202" style="position:absolute;left:0;text-align:left;margin-left:-4.55pt;margin-top:457.2pt;width:696.85pt;height: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" stroked="f">
                <v:textbox style="mso-fit-shape-to-text:t" inset="0,0,0,0">
                  <w:txbxContent>
                    <w:p w14:paraId="7FFC1E89" w14:textId="77777777" w:rsidR="00CB4331" w:rsidRPr="00E631D1" w:rsidRDefault="00CB4331" w:rsidP="00E2533D">
                      <w:pPr>
                        <w:pStyle w:val="Caption"/>
                        <w:rPr>
                          <w:noProof/>
                        </w:rPr>
                      </w:pPr>
                      <w:r>
                        <w:t xml:space="preserve">Graphique  </w:t>
                      </w:r>
                      <w:fldSimple w:instr=" SEQ Graphique_ \* ARABIC ">
                        <w:r>
                          <w:rPr>
                            <w:noProof/>
                          </w:rPr>
                          <w:t>7</w:t>
                        </w:r>
                      </w:fldSimple>
                      <w:r>
                        <w:t xml:space="preserve"> : évolution de la part du secteur de conseil informatique dans le marché des TIC</w:t>
                      </w:r>
                    </w:p>
                  </w:txbxContent>
                </v:textbox>
                <w10:wrap type="tight"/>
              </v:shape>
            </w:pict>
          </mc:Fallback>
        </mc:AlternateContent>
      </w:r>
      <w:r w:rsidR="00E2533D">
        <w:rPr>
          <w:noProof/>
        </w:rPr>
        <w:drawing>
          <wp:anchor distT="0" distB="0" distL="114300" distR="114300" simplePos="0" relativeHeight="251712512" behindDoc="1" locked="0" layoutInCell="1" allowOverlap="1" wp14:anchorId="7FFC1E2D" wp14:editId="7FFC1E2E">
            <wp:simplePos x="0" y="0"/>
            <wp:positionH relativeFrom="column">
              <wp:posOffset>-57785</wp:posOffset>
            </wp:positionH>
            <wp:positionV relativeFrom="paragraph">
              <wp:posOffset>-321310</wp:posOffset>
            </wp:positionV>
            <wp:extent cx="9256395" cy="6070600"/>
            <wp:effectExtent l="19050" t="0" r="1905" b="0"/>
            <wp:wrapTight wrapText="bothSides">
              <wp:wrapPolygon edited="0">
                <wp:start x="-44" y="0"/>
                <wp:lineTo x="-44" y="21555"/>
                <wp:lineTo x="21604" y="21555"/>
                <wp:lineTo x="21604" y="0"/>
                <wp:lineTo x="-44"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14:paraId="7FFC1C04" w14:textId="21E42F4E" w:rsidR="00E2533D" w:rsidRDefault="00E51A1C" w:rsidP="00E2533D">
      <w:pPr>
        <w:spacing w:before="0" w:after="0"/>
        <w:ind w:left="0"/>
        <w:jc w:val="left"/>
      </w:pPr>
      <w:r>
        <w:rPr>
          <w:noProof/>
        </w:rPr>
        <w:lastRenderedPageBreak/>
        <mc:AlternateContent>
          <mc:Choice Requires="wps">
            <w:drawing>
              <wp:anchor distT="0" distB="0" distL="114300" distR="114300" simplePos="0" relativeHeight="251673088" behindDoc="0" locked="0" layoutInCell="1" allowOverlap="1" wp14:anchorId="7FFC1E2F" wp14:editId="5D65B52C">
                <wp:simplePos x="0" y="0"/>
                <wp:positionH relativeFrom="column">
                  <wp:posOffset>-74930</wp:posOffset>
                </wp:positionH>
                <wp:positionV relativeFrom="paragraph">
                  <wp:posOffset>5746750</wp:posOffset>
                </wp:positionV>
                <wp:extent cx="8651240" cy="298450"/>
                <wp:effectExtent l="0" t="4445" r="0" b="1905"/>
                <wp:wrapTight wrapText="bothSides">
                  <wp:wrapPolygon edited="0">
                    <wp:start x="-22" y="0"/>
                    <wp:lineTo x="-22" y="20727"/>
                    <wp:lineTo x="21600" y="20727"/>
                    <wp:lineTo x="21600" y="0"/>
                    <wp:lineTo x="-22" y="0"/>
                  </wp:wrapPolygon>
                </wp:wrapTight>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12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A" w14:textId="77777777" w:rsidR="00CB4331" w:rsidRPr="0064156E" w:rsidRDefault="00CB4331" w:rsidP="00E2533D">
                            <w:pPr>
                              <w:pStyle w:val="Caption"/>
                              <w:rPr>
                                <w:noProof/>
                              </w:rPr>
                            </w:pPr>
                            <w:r>
                              <w:t xml:space="preserve">Graphique  </w:t>
                            </w:r>
                            <w:fldSimple w:instr=" SEQ Graphique_ \* ARABIC ">
                              <w:r>
                                <w:rPr>
                                  <w:noProof/>
                                </w:rPr>
                                <w:t>8</w:t>
                              </w:r>
                            </w:fldSimple>
                            <w:r>
                              <w:t xml:space="preserve"> : Segmentation des clients et leurs importance dans le chiffre d'affaire du secteur de conseil en informatiques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2F" id="Text Box 22" o:spid="_x0000_s1032" type="#_x0000_t202" style="position:absolute;margin-left:-5.9pt;margin-top:452.5pt;width:681.2pt;height:2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" stroked="f">
                <v:textbox style="mso-fit-shape-to-text:t" inset="0,0,0,0">
                  <w:txbxContent>
                    <w:p w14:paraId="7FFC1E8A" w14:textId="77777777" w:rsidR="00CB4331" w:rsidRPr="0064156E" w:rsidRDefault="00CB4331" w:rsidP="00E2533D">
                      <w:pPr>
                        <w:pStyle w:val="Caption"/>
                        <w:rPr>
                          <w:noProof/>
                        </w:rPr>
                      </w:pPr>
                      <w:r>
                        <w:t xml:space="preserve">Graphique  </w:t>
                      </w:r>
                      <w:fldSimple w:instr=" SEQ Graphique_ \* ARABIC ">
                        <w:r>
                          <w:rPr>
                            <w:noProof/>
                          </w:rPr>
                          <w:t>8</w:t>
                        </w:r>
                      </w:fldSimple>
                      <w:r>
                        <w:t xml:space="preserve"> : Segmentation des clients et leurs importance dans le chiffre d'affaire du secteur de conseil en informatiques</w:t>
                      </w:r>
                    </w:p>
                  </w:txbxContent>
                </v:textbox>
                <w10:wrap type="tight"/>
              </v:shape>
            </w:pict>
          </mc:Fallback>
        </mc:AlternateContent>
      </w:r>
      <w:r w:rsidR="00E2533D">
        <w:rPr>
          <w:noProof/>
        </w:rPr>
        <w:drawing>
          <wp:anchor distT="0" distB="0" distL="114300" distR="114300" simplePos="0" relativeHeight="251721728" behindDoc="1" locked="0" layoutInCell="1" allowOverlap="1" wp14:anchorId="7FFC1E30" wp14:editId="7FFC1E31">
            <wp:simplePos x="0" y="0"/>
            <wp:positionH relativeFrom="column">
              <wp:posOffset>-74930</wp:posOffset>
            </wp:positionH>
            <wp:positionV relativeFrom="paragraph">
              <wp:posOffset>-372110</wp:posOffset>
            </wp:positionV>
            <wp:extent cx="9256395" cy="6061710"/>
            <wp:effectExtent l="19050" t="0" r="1905" b="0"/>
            <wp:wrapTight wrapText="bothSides">
              <wp:wrapPolygon edited="0">
                <wp:start x="-44" y="0"/>
                <wp:lineTo x="-44" y="21519"/>
                <wp:lineTo x="21604" y="21519"/>
                <wp:lineTo x="21604" y="0"/>
                <wp:lineTo x="-44"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9256395" cy="6061710"/>
                    </a:xfrm>
                    <a:prstGeom prst="rect">
                      <a:avLst/>
                    </a:prstGeom>
                    <a:noFill/>
                    <a:ln w="9525">
                      <a:noFill/>
                      <a:miter lim="800000"/>
                      <a:headEnd/>
                      <a:tailEnd/>
                    </a:ln>
                  </pic:spPr>
                </pic:pic>
              </a:graphicData>
            </a:graphic>
          </wp:anchor>
        </w:drawing>
      </w:r>
    </w:p>
    <w:p w14:paraId="7FFC1C05" w14:textId="5B71CB0B" w:rsidR="00E2533D" w:rsidRDefault="00E51A1C" w:rsidP="00E2533D">
      <w:pPr>
        <w:spacing w:before="0" w:after="0"/>
        <w:ind w:left="0"/>
        <w:jc w:val="left"/>
      </w:pPr>
      <w:r>
        <w:rPr>
          <w:noProof/>
        </w:rPr>
        <w:lastRenderedPageBreak/>
        <mc:AlternateContent>
          <mc:Choice Requires="wps">
            <w:drawing>
              <wp:anchor distT="0" distB="0" distL="114300" distR="114300" simplePos="0" relativeHeight="251674112" behindDoc="0" locked="0" layoutInCell="1" allowOverlap="1" wp14:anchorId="7FFC1E32" wp14:editId="2EE67DB8">
                <wp:simplePos x="0" y="0"/>
                <wp:positionH relativeFrom="column">
                  <wp:posOffset>-66040</wp:posOffset>
                </wp:positionH>
                <wp:positionV relativeFrom="paragraph">
                  <wp:posOffset>5659755</wp:posOffset>
                </wp:positionV>
                <wp:extent cx="8888095" cy="298450"/>
                <wp:effectExtent l="0" t="3175" r="1905" b="3175"/>
                <wp:wrapTight wrapText="bothSides">
                  <wp:wrapPolygon edited="0">
                    <wp:start x="-22" y="0"/>
                    <wp:lineTo x="-22" y="20727"/>
                    <wp:lineTo x="21600" y="20727"/>
                    <wp:lineTo x="21600" y="0"/>
                    <wp:lineTo x="-22" y="0"/>
                  </wp:wrapPolygon>
                </wp:wrapTight>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B" w14:textId="77777777" w:rsidR="00CB4331" w:rsidRPr="00A60CDD" w:rsidRDefault="00CB4331" w:rsidP="00E2533D">
                            <w:pPr>
                              <w:pStyle w:val="Caption"/>
                              <w:rPr>
                                <w:noProof/>
                              </w:rPr>
                            </w:pPr>
                            <w:r>
                              <w:t xml:space="preserve">Graphique  </w:t>
                            </w:r>
                            <w:fldSimple w:instr=" SEQ Graphique_ \* ARABIC ">
                              <w:r>
                                <w:rPr>
                                  <w:noProof/>
                                </w:rPr>
                                <w:t>9</w:t>
                              </w:r>
                            </w:fldSimple>
                            <w:r>
                              <w:t xml:space="preserve"> : </w:t>
                            </w:r>
                            <w:r w:rsidRPr="000E5395">
                              <w:t>part du secteur de conseil inf</w:t>
                            </w:r>
                            <w:r>
                              <w:t>ormatique dans le marché des TI (en 2014)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32" id="Text Box 23" o:spid="_x0000_s1033" type="#_x0000_t202" style="position:absolute;margin-left:-5.2pt;margin-top:445.65pt;width:699.85pt;height: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" stroked="f">
                <v:textbox style="mso-fit-shape-to-text:t" inset="0,0,0,0">
                  <w:txbxContent>
                    <w:p w14:paraId="7FFC1E8B" w14:textId="77777777" w:rsidR="00CB4331" w:rsidRPr="00A60CDD" w:rsidRDefault="00CB4331" w:rsidP="00E2533D">
                      <w:pPr>
                        <w:pStyle w:val="Caption"/>
                        <w:rPr>
                          <w:noProof/>
                        </w:rPr>
                      </w:pPr>
                      <w:r>
                        <w:t xml:space="preserve">Graphique  </w:t>
                      </w:r>
                      <w:fldSimple w:instr=" SEQ Graphique_ \* ARABIC ">
                        <w:r>
                          <w:rPr>
                            <w:noProof/>
                          </w:rPr>
                          <w:t>9</w:t>
                        </w:r>
                      </w:fldSimple>
                      <w:r>
                        <w:t xml:space="preserve"> : </w:t>
                      </w:r>
                      <w:r w:rsidRPr="000E5395">
                        <w:t>part du secteur de conseil inf</w:t>
                      </w:r>
                      <w:r>
                        <w:t>ormatique dans le marché des TI (en 2014)</w:t>
                      </w:r>
                    </w:p>
                  </w:txbxContent>
                </v:textbox>
                <w10:wrap type="tight"/>
              </v:shape>
            </w:pict>
          </mc:Fallback>
        </mc:AlternateContent>
      </w:r>
      <w:r w:rsidR="00E2533D">
        <w:rPr>
          <w:noProof/>
        </w:rPr>
        <w:drawing>
          <wp:anchor distT="0" distB="0" distL="114300" distR="114300" simplePos="0" relativeHeight="251730944" behindDoc="1" locked="0" layoutInCell="1" allowOverlap="1" wp14:anchorId="7FFC1E33" wp14:editId="7FFC1E34">
            <wp:simplePos x="0" y="0"/>
            <wp:positionH relativeFrom="column">
              <wp:posOffset>-64770</wp:posOffset>
            </wp:positionH>
            <wp:positionV relativeFrom="paragraph">
              <wp:posOffset>-353695</wp:posOffset>
            </wp:positionV>
            <wp:extent cx="9117965" cy="5962650"/>
            <wp:effectExtent l="0" t="0" r="0" b="0"/>
            <wp:wrapTight wrapText="bothSides">
              <wp:wrapPolygon edited="0">
                <wp:start x="0" y="0"/>
                <wp:lineTo x="0" y="21531"/>
                <wp:lineTo x="21571" y="21531"/>
                <wp:lineTo x="2157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9117965" cy="5962650"/>
                    </a:xfrm>
                    <a:prstGeom prst="rect">
                      <a:avLst/>
                    </a:prstGeom>
                    <a:noFill/>
                    <a:ln w="9525">
                      <a:noFill/>
                      <a:miter lim="800000"/>
                      <a:headEnd/>
                      <a:tailEnd/>
                    </a:ln>
                  </pic:spPr>
                </pic:pic>
              </a:graphicData>
            </a:graphic>
          </wp:anchor>
        </w:drawing>
      </w:r>
      <w:r w:rsidR="00E2533D">
        <w:br w:type="page"/>
      </w:r>
    </w:p>
    <w:p w14:paraId="7FFC1C06" w14:textId="77777777" w:rsidR="00E2533D" w:rsidRDefault="00E2533D" w:rsidP="00E2533D">
      <w:pPr>
        <w:pStyle w:val="Heading1"/>
      </w:pPr>
      <w:bookmarkStart w:id="40" w:name="_Toc454465570"/>
      <w:r>
        <w:lastRenderedPageBreak/>
        <w:t xml:space="preserve">Analyse </w:t>
      </w:r>
      <w:r w:rsidR="00AB4E72">
        <w:t>des performances</w:t>
      </w:r>
      <w:bookmarkEnd w:id="40"/>
      <w:r>
        <w:t xml:space="preserve">  </w:t>
      </w:r>
    </w:p>
    <w:tbl>
      <w:tblPr>
        <w:tblW w:w="13820" w:type="dxa"/>
        <w:tblLayout w:type="fixed"/>
        <w:tblCellMar>
          <w:left w:w="70" w:type="dxa"/>
          <w:right w:w="70" w:type="dxa"/>
        </w:tblCellMar>
        <w:tblLook w:val="04A0" w:firstRow="1" w:lastRow="0" w:firstColumn="1" w:lastColumn="0" w:noHBand="0" w:noVBand="1"/>
      </w:tblPr>
      <w:tblGrid>
        <w:gridCol w:w="3180"/>
        <w:gridCol w:w="1520"/>
        <w:gridCol w:w="1520"/>
        <w:gridCol w:w="1520"/>
        <w:gridCol w:w="1520"/>
        <w:gridCol w:w="1520"/>
        <w:gridCol w:w="1520"/>
        <w:gridCol w:w="1520"/>
      </w:tblGrid>
      <w:tr w:rsidR="004D1AB0" w:rsidRPr="003534F7" w14:paraId="7FFC1C0A" w14:textId="77777777" w:rsidTr="00B35212">
        <w:trPr>
          <w:trHeight w:val="435"/>
        </w:trPr>
        <w:tc>
          <w:tcPr>
            <w:tcW w:w="3180" w:type="dxa"/>
            <w:tcBorders>
              <w:top w:val="nil"/>
              <w:left w:val="nil"/>
              <w:bottom w:val="nil"/>
              <w:right w:val="nil"/>
            </w:tcBorders>
            <w:shd w:val="clear" w:color="auto" w:fill="auto"/>
            <w:noWrap/>
            <w:vAlign w:val="center"/>
            <w:hideMark/>
          </w:tcPr>
          <w:p w14:paraId="7FFC1C07" w14:textId="77777777" w:rsidR="004D1AB0" w:rsidRPr="003534F7" w:rsidRDefault="004D1AB0" w:rsidP="003534F7">
            <w:pPr>
              <w:spacing w:before="0" w:after="0"/>
              <w:ind w:left="0"/>
              <w:jc w:val="left"/>
              <w:rPr>
                <w:rFonts w:ascii="Times New Roman" w:hAnsi="Times New Roman" w:cs="Times New Roman"/>
                <w:sz w:val="20"/>
                <w:szCs w:val="24"/>
              </w:rPr>
            </w:pPr>
          </w:p>
        </w:tc>
        <w:tc>
          <w:tcPr>
            <w:tcW w:w="7600" w:type="dxa"/>
            <w:gridSpan w:val="5"/>
            <w:tcBorders>
              <w:top w:val="single" w:sz="8" w:space="0" w:color="auto"/>
              <w:left w:val="single" w:sz="8" w:space="0" w:color="auto"/>
              <w:bottom w:val="single" w:sz="8" w:space="0" w:color="auto"/>
              <w:right w:val="single" w:sz="8" w:space="0" w:color="auto"/>
            </w:tcBorders>
            <w:shd w:val="clear" w:color="000000" w:fill="F2F2F2"/>
            <w:vAlign w:val="center"/>
          </w:tcPr>
          <w:p w14:paraId="7FFC1C08" w14:textId="77777777" w:rsidR="004D1AB0" w:rsidRPr="003534F7" w:rsidRDefault="004D1AB0" w:rsidP="003534F7">
            <w:pPr>
              <w:spacing w:before="0" w:after="0"/>
              <w:ind w:left="0"/>
              <w:jc w:val="center"/>
              <w:rPr>
                <w:b/>
                <w:bCs/>
                <w:szCs w:val="22"/>
              </w:rPr>
            </w:pPr>
            <w:r w:rsidRPr="004D1AB0">
              <w:rPr>
                <w:b/>
                <w:bCs/>
                <w:szCs w:val="22"/>
              </w:rPr>
              <w:t>Organisation et débouchés de la production</w:t>
            </w:r>
          </w:p>
        </w:tc>
        <w:tc>
          <w:tcPr>
            <w:tcW w:w="3040" w:type="dxa"/>
            <w:gridSpan w:val="2"/>
            <w:tcBorders>
              <w:top w:val="single" w:sz="8" w:space="0" w:color="auto"/>
              <w:left w:val="single" w:sz="8" w:space="0" w:color="auto"/>
              <w:bottom w:val="single" w:sz="8" w:space="0" w:color="auto"/>
              <w:right w:val="single" w:sz="8" w:space="0" w:color="auto"/>
            </w:tcBorders>
            <w:shd w:val="clear" w:color="000000" w:fill="F2F2F2"/>
            <w:vAlign w:val="center"/>
          </w:tcPr>
          <w:p w14:paraId="7FFC1C09" w14:textId="77777777" w:rsidR="004D1AB0" w:rsidRPr="003534F7" w:rsidRDefault="004D1AB0" w:rsidP="003534F7">
            <w:pPr>
              <w:spacing w:before="0" w:after="0"/>
              <w:ind w:left="0"/>
              <w:jc w:val="center"/>
              <w:rPr>
                <w:b/>
                <w:bCs/>
                <w:szCs w:val="22"/>
              </w:rPr>
            </w:pPr>
            <w:r w:rsidRPr="004D1AB0">
              <w:rPr>
                <w:b/>
                <w:bCs/>
                <w:szCs w:val="22"/>
              </w:rPr>
              <w:t>Délais de paiement</w:t>
            </w:r>
          </w:p>
        </w:tc>
      </w:tr>
      <w:tr w:rsidR="003534F7" w:rsidRPr="003534F7" w14:paraId="7FFC1C13" w14:textId="77777777" w:rsidTr="003534F7">
        <w:trPr>
          <w:trHeight w:val="1020"/>
        </w:trPr>
        <w:tc>
          <w:tcPr>
            <w:tcW w:w="3180" w:type="dxa"/>
            <w:tcBorders>
              <w:top w:val="nil"/>
              <w:left w:val="nil"/>
              <w:bottom w:val="nil"/>
              <w:right w:val="nil"/>
            </w:tcBorders>
            <w:shd w:val="clear" w:color="auto" w:fill="auto"/>
            <w:vAlign w:val="center"/>
            <w:hideMark/>
          </w:tcPr>
          <w:p w14:paraId="7FFC1C0B" w14:textId="77777777" w:rsidR="003534F7" w:rsidRPr="003534F7" w:rsidRDefault="003534F7" w:rsidP="003534F7">
            <w:pPr>
              <w:spacing w:before="0" w:after="0"/>
              <w:ind w:left="0"/>
              <w:jc w:val="right"/>
              <w:rPr>
                <w:b/>
                <w:bCs/>
                <w:color w:val="000000"/>
                <w:sz w:val="20"/>
              </w:rPr>
            </w:pPr>
            <w:r w:rsidRPr="003534F7">
              <w:rPr>
                <w:b/>
                <w:bCs/>
                <w:color w:val="000000"/>
                <w:sz w:val="20"/>
              </w:rPr>
              <w:t>Ratio</w:t>
            </w:r>
          </w:p>
        </w:tc>
        <w:tc>
          <w:tcPr>
            <w:tcW w:w="1520" w:type="dxa"/>
            <w:tcBorders>
              <w:top w:val="nil"/>
              <w:left w:val="single" w:sz="4" w:space="0" w:color="auto"/>
              <w:bottom w:val="single" w:sz="4" w:space="0" w:color="auto"/>
              <w:right w:val="single" w:sz="4" w:space="0" w:color="auto"/>
            </w:tcBorders>
            <w:shd w:val="clear" w:color="000000" w:fill="F2F2F2"/>
            <w:vAlign w:val="center"/>
            <w:hideMark/>
          </w:tcPr>
          <w:p w14:paraId="7FFC1C0C" w14:textId="77777777" w:rsidR="003534F7" w:rsidRPr="003534F7" w:rsidRDefault="003534F7" w:rsidP="003534F7">
            <w:pPr>
              <w:spacing w:before="0" w:after="0"/>
              <w:ind w:left="0"/>
              <w:jc w:val="center"/>
              <w:rPr>
                <w:color w:val="000000"/>
                <w:sz w:val="20"/>
              </w:rPr>
            </w:pPr>
            <w:r w:rsidRPr="003534F7">
              <w:rPr>
                <w:color w:val="000000"/>
                <w:sz w:val="20"/>
              </w:rPr>
              <w:t>Taux d’exportation</w:t>
            </w:r>
          </w:p>
        </w:tc>
        <w:tc>
          <w:tcPr>
            <w:tcW w:w="1520" w:type="dxa"/>
            <w:tcBorders>
              <w:top w:val="nil"/>
              <w:left w:val="nil"/>
              <w:bottom w:val="single" w:sz="4" w:space="0" w:color="auto"/>
              <w:right w:val="single" w:sz="4" w:space="0" w:color="auto"/>
            </w:tcBorders>
            <w:shd w:val="clear" w:color="000000" w:fill="F2F2F2"/>
            <w:vAlign w:val="center"/>
            <w:hideMark/>
          </w:tcPr>
          <w:p w14:paraId="7FFC1C0D" w14:textId="77777777" w:rsidR="003534F7" w:rsidRPr="003534F7" w:rsidRDefault="003534F7" w:rsidP="003534F7">
            <w:pPr>
              <w:spacing w:before="0" w:after="0"/>
              <w:ind w:left="0"/>
              <w:jc w:val="center"/>
              <w:rPr>
                <w:color w:val="000000"/>
                <w:sz w:val="20"/>
              </w:rPr>
            </w:pPr>
            <w:r w:rsidRPr="003534F7">
              <w:rPr>
                <w:color w:val="000000"/>
                <w:sz w:val="20"/>
              </w:rPr>
              <w:t>Productivité apparente par ETP</w:t>
            </w:r>
          </w:p>
        </w:tc>
        <w:tc>
          <w:tcPr>
            <w:tcW w:w="1520" w:type="dxa"/>
            <w:tcBorders>
              <w:top w:val="nil"/>
              <w:left w:val="nil"/>
              <w:bottom w:val="single" w:sz="4" w:space="0" w:color="auto"/>
              <w:right w:val="single" w:sz="4" w:space="0" w:color="auto"/>
            </w:tcBorders>
            <w:shd w:val="clear" w:color="000000" w:fill="F2F2F2"/>
            <w:vAlign w:val="center"/>
            <w:hideMark/>
          </w:tcPr>
          <w:p w14:paraId="7FFC1C0E" w14:textId="77777777" w:rsidR="003534F7" w:rsidRPr="003534F7" w:rsidRDefault="003534F7" w:rsidP="003534F7">
            <w:pPr>
              <w:spacing w:before="0" w:after="0"/>
              <w:ind w:left="0"/>
              <w:jc w:val="center"/>
              <w:rPr>
                <w:color w:val="000000"/>
                <w:sz w:val="20"/>
              </w:rPr>
            </w:pPr>
            <w:r w:rsidRPr="003534F7">
              <w:rPr>
                <w:color w:val="000000"/>
                <w:sz w:val="20"/>
              </w:rPr>
              <w:t>Taux de VA</w:t>
            </w:r>
          </w:p>
        </w:tc>
        <w:tc>
          <w:tcPr>
            <w:tcW w:w="1520" w:type="dxa"/>
            <w:tcBorders>
              <w:top w:val="nil"/>
              <w:left w:val="nil"/>
              <w:bottom w:val="single" w:sz="4" w:space="0" w:color="auto"/>
              <w:right w:val="single" w:sz="4" w:space="0" w:color="auto"/>
            </w:tcBorders>
            <w:shd w:val="clear" w:color="000000" w:fill="F2F2F2"/>
            <w:vAlign w:val="center"/>
            <w:hideMark/>
          </w:tcPr>
          <w:p w14:paraId="7FFC1C0F" w14:textId="77777777" w:rsidR="003534F7" w:rsidRPr="003534F7" w:rsidRDefault="003534F7" w:rsidP="003534F7">
            <w:pPr>
              <w:spacing w:before="0" w:after="0"/>
              <w:ind w:left="0"/>
              <w:jc w:val="center"/>
              <w:rPr>
                <w:color w:val="000000"/>
                <w:sz w:val="20"/>
              </w:rPr>
            </w:pPr>
            <w:r w:rsidRPr="003534F7">
              <w:rPr>
                <w:color w:val="000000"/>
                <w:sz w:val="20"/>
              </w:rPr>
              <w:t>Frais de personnel par ETP</w:t>
            </w:r>
          </w:p>
        </w:tc>
        <w:tc>
          <w:tcPr>
            <w:tcW w:w="1520" w:type="dxa"/>
            <w:tcBorders>
              <w:top w:val="nil"/>
              <w:left w:val="nil"/>
              <w:bottom w:val="single" w:sz="4" w:space="0" w:color="auto"/>
              <w:right w:val="single" w:sz="4" w:space="0" w:color="auto"/>
            </w:tcBorders>
            <w:shd w:val="clear" w:color="000000" w:fill="F2F2F2"/>
            <w:vAlign w:val="center"/>
            <w:hideMark/>
          </w:tcPr>
          <w:p w14:paraId="7FFC1C10" w14:textId="77777777" w:rsidR="003534F7" w:rsidRPr="003534F7" w:rsidRDefault="003534F7" w:rsidP="003534F7">
            <w:pPr>
              <w:spacing w:before="0" w:after="0"/>
              <w:ind w:left="0"/>
              <w:jc w:val="center"/>
              <w:rPr>
                <w:color w:val="000000"/>
                <w:sz w:val="20"/>
              </w:rPr>
            </w:pPr>
            <w:r w:rsidRPr="003534F7">
              <w:rPr>
                <w:color w:val="000000"/>
                <w:sz w:val="20"/>
              </w:rPr>
              <w:t xml:space="preserve">Intensité capitalistique </w:t>
            </w:r>
          </w:p>
        </w:tc>
        <w:tc>
          <w:tcPr>
            <w:tcW w:w="1520" w:type="dxa"/>
            <w:tcBorders>
              <w:top w:val="nil"/>
              <w:left w:val="nil"/>
              <w:bottom w:val="single" w:sz="4" w:space="0" w:color="auto"/>
              <w:right w:val="single" w:sz="4" w:space="0" w:color="auto"/>
            </w:tcBorders>
            <w:shd w:val="clear" w:color="000000" w:fill="F2F2F2"/>
            <w:vAlign w:val="center"/>
            <w:hideMark/>
          </w:tcPr>
          <w:p w14:paraId="7FFC1C11" w14:textId="77777777" w:rsidR="003534F7" w:rsidRPr="003534F7" w:rsidRDefault="003534F7" w:rsidP="003534F7">
            <w:pPr>
              <w:spacing w:before="0" w:after="0"/>
              <w:ind w:left="0"/>
              <w:jc w:val="center"/>
              <w:rPr>
                <w:color w:val="000000"/>
                <w:sz w:val="20"/>
              </w:rPr>
            </w:pPr>
            <w:r w:rsidRPr="003534F7">
              <w:rPr>
                <w:color w:val="000000"/>
                <w:sz w:val="20"/>
              </w:rPr>
              <w:t xml:space="preserve">Délais client </w:t>
            </w:r>
          </w:p>
        </w:tc>
        <w:tc>
          <w:tcPr>
            <w:tcW w:w="1520" w:type="dxa"/>
            <w:tcBorders>
              <w:top w:val="nil"/>
              <w:left w:val="nil"/>
              <w:bottom w:val="single" w:sz="4" w:space="0" w:color="auto"/>
              <w:right w:val="single" w:sz="4" w:space="0" w:color="auto"/>
            </w:tcBorders>
            <w:shd w:val="clear" w:color="000000" w:fill="F2F2F2"/>
            <w:vAlign w:val="center"/>
            <w:hideMark/>
          </w:tcPr>
          <w:p w14:paraId="7FFC1C12" w14:textId="77777777" w:rsidR="003534F7" w:rsidRPr="003534F7" w:rsidRDefault="003534F7" w:rsidP="003534F7">
            <w:pPr>
              <w:spacing w:before="0" w:after="0"/>
              <w:ind w:left="0"/>
              <w:jc w:val="center"/>
              <w:rPr>
                <w:color w:val="000000"/>
                <w:sz w:val="20"/>
              </w:rPr>
            </w:pPr>
            <w:r w:rsidRPr="003534F7">
              <w:rPr>
                <w:color w:val="000000"/>
                <w:sz w:val="20"/>
              </w:rPr>
              <w:t xml:space="preserve">Délais fournisseur </w:t>
            </w:r>
          </w:p>
        </w:tc>
      </w:tr>
      <w:tr w:rsidR="003534F7" w:rsidRPr="003534F7" w14:paraId="7FFC1C1C" w14:textId="77777777" w:rsidTr="003534F7">
        <w:trPr>
          <w:trHeight w:val="255"/>
        </w:trPr>
        <w:tc>
          <w:tcPr>
            <w:tcW w:w="3180" w:type="dxa"/>
            <w:tcBorders>
              <w:top w:val="nil"/>
              <w:left w:val="nil"/>
              <w:bottom w:val="nil"/>
              <w:right w:val="nil"/>
            </w:tcBorders>
            <w:shd w:val="clear" w:color="auto" w:fill="auto"/>
            <w:vAlign w:val="center"/>
            <w:hideMark/>
          </w:tcPr>
          <w:p w14:paraId="7FFC1C14" w14:textId="77777777" w:rsidR="003534F7" w:rsidRPr="003534F7" w:rsidRDefault="003534F7" w:rsidP="003534F7">
            <w:pPr>
              <w:spacing w:before="0" w:after="0"/>
              <w:ind w:left="0"/>
              <w:jc w:val="right"/>
              <w:rPr>
                <w:b/>
                <w:bCs/>
                <w:color w:val="000000"/>
                <w:sz w:val="20"/>
              </w:rPr>
            </w:pPr>
            <w:r w:rsidRPr="003534F7">
              <w:rPr>
                <w:b/>
                <w:bCs/>
                <w:color w:val="000000"/>
                <w:sz w:val="20"/>
              </w:rPr>
              <w:t xml:space="preserve">Unité </w:t>
            </w:r>
          </w:p>
        </w:tc>
        <w:tc>
          <w:tcPr>
            <w:tcW w:w="1520" w:type="dxa"/>
            <w:tcBorders>
              <w:top w:val="nil"/>
              <w:left w:val="single" w:sz="4" w:space="0" w:color="auto"/>
              <w:bottom w:val="single" w:sz="4" w:space="0" w:color="auto"/>
              <w:right w:val="single" w:sz="4" w:space="0" w:color="auto"/>
            </w:tcBorders>
            <w:shd w:val="clear" w:color="000000" w:fill="F2F2F2"/>
            <w:vAlign w:val="center"/>
            <w:hideMark/>
          </w:tcPr>
          <w:p w14:paraId="7FFC1C15" w14:textId="77777777" w:rsidR="003534F7" w:rsidRPr="003534F7" w:rsidRDefault="003534F7" w:rsidP="003534F7">
            <w:pPr>
              <w:spacing w:before="0" w:after="0"/>
              <w:ind w:left="0"/>
              <w:jc w:val="center"/>
              <w:rPr>
                <w:color w:val="000000"/>
                <w:sz w:val="20"/>
              </w:rPr>
            </w:pPr>
            <w:r w:rsidRPr="003534F7">
              <w:rPr>
                <w:color w:val="000000"/>
                <w:sz w:val="20"/>
              </w:rPr>
              <w:t xml:space="preserve"> (en %)</w:t>
            </w:r>
          </w:p>
        </w:tc>
        <w:tc>
          <w:tcPr>
            <w:tcW w:w="1520" w:type="dxa"/>
            <w:tcBorders>
              <w:top w:val="nil"/>
              <w:left w:val="nil"/>
              <w:bottom w:val="single" w:sz="4" w:space="0" w:color="auto"/>
              <w:right w:val="single" w:sz="4" w:space="0" w:color="auto"/>
            </w:tcBorders>
            <w:shd w:val="clear" w:color="000000" w:fill="F2F2F2"/>
            <w:vAlign w:val="center"/>
            <w:hideMark/>
          </w:tcPr>
          <w:p w14:paraId="7FFC1C16" w14:textId="77777777" w:rsidR="003534F7" w:rsidRPr="003534F7" w:rsidRDefault="003534F7" w:rsidP="003534F7">
            <w:pPr>
              <w:spacing w:before="0" w:after="0"/>
              <w:ind w:left="0"/>
              <w:jc w:val="center"/>
              <w:rPr>
                <w:color w:val="000000"/>
                <w:sz w:val="20"/>
              </w:rPr>
            </w:pPr>
            <w:r w:rsidRPr="003534F7">
              <w:rPr>
                <w:color w:val="000000"/>
                <w:sz w:val="20"/>
              </w:rPr>
              <w:t>(en k euros)</w:t>
            </w:r>
          </w:p>
        </w:tc>
        <w:tc>
          <w:tcPr>
            <w:tcW w:w="1520" w:type="dxa"/>
            <w:tcBorders>
              <w:top w:val="nil"/>
              <w:left w:val="nil"/>
              <w:bottom w:val="single" w:sz="4" w:space="0" w:color="auto"/>
              <w:right w:val="single" w:sz="4" w:space="0" w:color="auto"/>
            </w:tcBorders>
            <w:shd w:val="clear" w:color="000000" w:fill="F2F2F2"/>
            <w:vAlign w:val="center"/>
            <w:hideMark/>
          </w:tcPr>
          <w:p w14:paraId="7FFC1C17"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520" w:type="dxa"/>
            <w:tcBorders>
              <w:top w:val="nil"/>
              <w:left w:val="nil"/>
              <w:bottom w:val="single" w:sz="4" w:space="0" w:color="auto"/>
              <w:right w:val="single" w:sz="4" w:space="0" w:color="auto"/>
            </w:tcBorders>
            <w:shd w:val="clear" w:color="000000" w:fill="F2F2F2"/>
            <w:vAlign w:val="center"/>
            <w:hideMark/>
          </w:tcPr>
          <w:p w14:paraId="7FFC1C18" w14:textId="77777777" w:rsidR="003534F7" w:rsidRPr="00AB4E72" w:rsidRDefault="003534F7" w:rsidP="00AB4E72">
            <w:pPr>
              <w:spacing w:before="0" w:after="0"/>
              <w:ind w:left="0"/>
              <w:jc w:val="center"/>
              <w:rPr>
                <w:sz w:val="20"/>
              </w:rPr>
            </w:pPr>
            <w:r w:rsidRPr="00AB4E72">
              <w:rPr>
                <w:sz w:val="20"/>
              </w:rPr>
              <w:t xml:space="preserve">(en </w:t>
            </w:r>
            <w:r w:rsidR="00AB4E72" w:rsidRPr="00AB4E72">
              <w:rPr>
                <w:sz w:val="20"/>
              </w:rPr>
              <w:t>K€</w:t>
            </w:r>
            <w:r w:rsidRPr="00AB4E72">
              <w:rPr>
                <w:sz w:val="20"/>
              </w:rPr>
              <w:t>)</w:t>
            </w:r>
          </w:p>
        </w:tc>
        <w:tc>
          <w:tcPr>
            <w:tcW w:w="1520" w:type="dxa"/>
            <w:tcBorders>
              <w:top w:val="nil"/>
              <w:left w:val="nil"/>
              <w:bottom w:val="single" w:sz="4" w:space="0" w:color="auto"/>
              <w:right w:val="single" w:sz="4" w:space="0" w:color="auto"/>
            </w:tcBorders>
            <w:shd w:val="clear" w:color="000000" w:fill="F2F2F2"/>
            <w:noWrap/>
            <w:vAlign w:val="center"/>
            <w:hideMark/>
          </w:tcPr>
          <w:p w14:paraId="7FFC1C19" w14:textId="77777777" w:rsidR="003534F7" w:rsidRPr="00AB4E72" w:rsidRDefault="003534F7" w:rsidP="003534F7">
            <w:pPr>
              <w:spacing w:before="0" w:after="0"/>
              <w:ind w:left="0"/>
              <w:jc w:val="center"/>
              <w:rPr>
                <w:sz w:val="20"/>
              </w:rPr>
            </w:pPr>
            <w:r w:rsidRPr="00AB4E72">
              <w:rPr>
                <w:sz w:val="20"/>
              </w:rPr>
              <w:t>(en k euro)</w:t>
            </w:r>
          </w:p>
        </w:tc>
        <w:tc>
          <w:tcPr>
            <w:tcW w:w="1520" w:type="dxa"/>
            <w:tcBorders>
              <w:top w:val="nil"/>
              <w:left w:val="nil"/>
              <w:bottom w:val="single" w:sz="4" w:space="0" w:color="auto"/>
              <w:right w:val="single" w:sz="4" w:space="0" w:color="auto"/>
            </w:tcBorders>
            <w:shd w:val="clear" w:color="000000" w:fill="F2F2F2"/>
            <w:vAlign w:val="center"/>
            <w:hideMark/>
          </w:tcPr>
          <w:p w14:paraId="7FFC1C1A" w14:textId="77777777" w:rsidR="003534F7" w:rsidRPr="003534F7" w:rsidRDefault="003534F7" w:rsidP="003534F7">
            <w:pPr>
              <w:spacing w:before="0" w:after="0"/>
              <w:ind w:left="0"/>
              <w:jc w:val="center"/>
              <w:rPr>
                <w:color w:val="000000"/>
                <w:sz w:val="20"/>
              </w:rPr>
            </w:pPr>
            <w:r w:rsidRPr="003534F7">
              <w:rPr>
                <w:color w:val="000000"/>
                <w:sz w:val="20"/>
              </w:rPr>
              <w:t>(En jours)</w:t>
            </w:r>
          </w:p>
        </w:tc>
        <w:tc>
          <w:tcPr>
            <w:tcW w:w="1520" w:type="dxa"/>
            <w:tcBorders>
              <w:top w:val="nil"/>
              <w:left w:val="nil"/>
              <w:bottom w:val="single" w:sz="4" w:space="0" w:color="auto"/>
              <w:right w:val="single" w:sz="4" w:space="0" w:color="auto"/>
            </w:tcBorders>
            <w:shd w:val="clear" w:color="000000" w:fill="F2F2F2"/>
            <w:vAlign w:val="center"/>
            <w:hideMark/>
          </w:tcPr>
          <w:p w14:paraId="7FFC1C1B" w14:textId="77777777" w:rsidR="003534F7" w:rsidRPr="003534F7" w:rsidRDefault="003534F7" w:rsidP="003534F7">
            <w:pPr>
              <w:spacing w:before="0" w:after="0"/>
              <w:ind w:left="0"/>
              <w:jc w:val="center"/>
              <w:rPr>
                <w:color w:val="000000"/>
                <w:sz w:val="20"/>
              </w:rPr>
            </w:pPr>
            <w:r w:rsidRPr="003534F7">
              <w:rPr>
                <w:color w:val="000000"/>
                <w:sz w:val="20"/>
              </w:rPr>
              <w:t>(En jours)</w:t>
            </w:r>
          </w:p>
        </w:tc>
      </w:tr>
      <w:tr w:rsidR="003534F7" w:rsidRPr="003534F7" w14:paraId="7FFC1C25" w14:textId="77777777" w:rsidTr="003534F7">
        <w:trPr>
          <w:trHeight w:val="825"/>
        </w:trPr>
        <w:tc>
          <w:tcPr>
            <w:tcW w:w="3180" w:type="dxa"/>
            <w:tcBorders>
              <w:top w:val="nil"/>
              <w:left w:val="nil"/>
              <w:bottom w:val="nil"/>
              <w:right w:val="nil"/>
            </w:tcBorders>
            <w:shd w:val="clear" w:color="auto" w:fill="auto"/>
            <w:vAlign w:val="center"/>
            <w:hideMark/>
          </w:tcPr>
          <w:p w14:paraId="7FFC1C1D" w14:textId="77777777" w:rsidR="003534F7" w:rsidRPr="003534F7" w:rsidRDefault="003534F7" w:rsidP="003534F7">
            <w:pPr>
              <w:spacing w:before="0" w:after="0"/>
              <w:ind w:left="0"/>
              <w:jc w:val="right"/>
              <w:rPr>
                <w:b/>
                <w:bCs/>
                <w:color w:val="000000"/>
                <w:sz w:val="20"/>
              </w:rPr>
            </w:pPr>
            <w:r w:rsidRPr="003534F7">
              <w:rPr>
                <w:b/>
                <w:bCs/>
                <w:color w:val="000000"/>
                <w:sz w:val="20"/>
              </w:rPr>
              <w:t xml:space="preserve">Formule   </w:t>
            </w:r>
          </w:p>
        </w:tc>
        <w:tc>
          <w:tcPr>
            <w:tcW w:w="1520" w:type="dxa"/>
            <w:tcBorders>
              <w:top w:val="nil"/>
              <w:left w:val="single" w:sz="4" w:space="0" w:color="auto"/>
              <w:bottom w:val="single" w:sz="8" w:space="0" w:color="auto"/>
              <w:right w:val="single" w:sz="4" w:space="0" w:color="auto"/>
            </w:tcBorders>
            <w:shd w:val="clear" w:color="000000" w:fill="F2F2F2"/>
            <w:vAlign w:val="center"/>
            <w:hideMark/>
          </w:tcPr>
          <w:p w14:paraId="7FFC1C1E" w14:textId="77777777" w:rsidR="003534F7" w:rsidRPr="003534F7" w:rsidRDefault="003534F7" w:rsidP="003534F7">
            <w:pPr>
              <w:spacing w:before="0" w:after="0"/>
              <w:ind w:left="0"/>
              <w:jc w:val="center"/>
              <w:rPr>
                <w:color w:val="000000"/>
                <w:sz w:val="20"/>
              </w:rPr>
            </w:pPr>
            <w:r w:rsidRPr="003534F7">
              <w:rPr>
                <w:color w:val="000000"/>
                <w:sz w:val="20"/>
              </w:rPr>
              <w:t>Rex / CA</w:t>
            </w:r>
          </w:p>
        </w:tc>
        <w:tc>
          <w:tcPr>
            <w:tcW w:w="1520" w:type="dxa"/>
            <w:tcBorders>
              <w:top w:val="nil"/>
              <w:left w:val="nil"/>
              <w:bottom w:val="single" w:sz="8" w:space="0" w:color="auto"/>
              <w:right w:val="single" w:sz="4" w:space="0" w:color="auto"/>
            </w:tcBorders>
            <w:shd w:val="clear" w:color="000000" w:fill="F2F2F2"/>
            <w:vAlign w:val="center"/>
            <w:hideMark/>
          </w:tcPr>
          <w:p w14:paraId="7FFC1C1F" w14:textId="77777777" w:rsidR="003534F7" w:rsidRPr="003534F7" w:rsidRDefault="003534F7" w:rsidP="003534F7">
            <w:pPr>
              <w:spacing w:before="0" w:after="0"/>
              <w:ind w:left="0"/>
              <w:jc w:val="center"/>
              <w:rPr>
                <w:color w:val="000000"/>
                <w:sz w:val="20"/>
              </w:rPr>
            </w:pPr>
            <w:r w:rsidRPr="003534F7">
              <w:rPr>
                <w:color w:val="000000"/>
                <w:sz w:val="20"/>
              </w:rPr>
              <w:t>VA / ETP</w:t>
            </w:r>
          </w:p>
        </w:tc>
        <w:tc>
          <w:tcPr>
            <w:tcW w:w="1520" w:type="dxa"/>
            <w:tcBorders>
              <w:top w:val="nil"/>
              <w:left w:val="nil"/>
              <w:bottom w:val="single" w:sz="8" w:space="0" w:color="auto"/>
              <w:right w:val="single" w:sz="4" w:space="0" w:color="auto"/>
            </w:tcBorders>
            <w:shd w:val="clear" w:color="000000" w:fill="F2F2F2"/>
            <w:vAlign w:val="center"/>
            <w:hideMark/>
          </w:tcPr>
          <w:p w14:paraId="7FFC1C20" w14:textId="77777777" w:rsidR="003534F7" w:rsidRPr="003534F7" w:rsidRDefault="003534F7" w:rsidP="003534F7">
            <w:pPr>
              <w:spacing w:before="0" w:after="0"/>
              <w:ind w:left="0"/>
              <w:jc w:val="center"/>
              <w:rPr>
                <w:color w:val="000000"/>
                <w:sz w:val="20"/>
              </w:rPr>
            </w:pPr>
            <w:r w:rsidRPr="003534F7">
              <w:rPr>
                <w:color w:val="000000"/>
                <w:sz w:val="20"/>
              </w:rPr>
              <w:t>VA / CA</w:t>
            </w:r>
          </w:p>
        </w:tc>
        <w:tc>
          <w:tcPr>
            <w:tcW w:w="1520" w:type="dxa"/>
            <w:tcBorders>
              <w:top w:val="nil"/>
              <w:left w:val="nil"/>
              <w:bottom w:val="single" w:sz="8" w:space="0" w:color="auto"/>
              <w:right w:val="single" w:sz="4" w:space="0" w:color="auto"/>
            </w:tcBorders>
            <w:shd w:val="clear" w:color="000000" w:fill="F2F2F2"/>
            <w:vAlign w:val="center"/>
            <w:hideMark/>
          </w:tcPr>
          <w:p w14:paraId="7FFC1C21" w14:textId="77777777" w:rsidR="003534F7" w:rsidRPr="003534F7" w:rsidRDefault="003534F7" w:rsidP="003534F7">
            <w:pPr>
              <w:spacing w:before="0" w:after="0"/>
              <w:ind w:left="0"/>
              <w:jc w:val="center"/>
              <w:rPr>
                <w:color w:val="000000"/>
                <w:sz w:val="20"/>
              </w:rPr>
            </w:pPr>
            <w:r w:rsidRPr="003534F7">
              <w:rPr>
                <w:color w:val="000000"/>
                <w:sz w:val="20"/>
              </w:rPr>
              <w:t>(Salaires et Ch. sociales) / ETP</w:t>
            </w:r>
          </w:p>
        </w:tc>
        <w:tc>
          <w:tcPr>
            <w:tcW w:w="1520" w:type="dxa"/>
            <w:tcBorders>
              <w:top w:val="nil"/>
              <w:left w:val="nil"/>
              <w:bottom w:val="single" w:sz="8" w:space="0" w:color="auto"/>
              <w:right w:val="single" w:sz="4" w:space="0" w:color="auto"/>
            </w:tcBorders>
            <w:shd w:val="clear" w:color="000000" w:fill="F2F2F2"/>
            <w:vAlign w:val="center"/>
            <w:hideMark/>
          </w:tcPr>
          <w:p w14:paraId="7FFC1C22" w14:textId="77777777" w:rsidR="003534F7" w:rsidRPr="003534F7" w:rsidRDefault="003534F7" w:rsidP="003534F7">
            <w:pPr>
              <w:spacing w:before="0" w:after="0"/>
              <w:ind w:left="0"/>
              <w:jc w:val="center"/>
              <w:rPr>
                <w:color w:val="000000"/>
                <w:sz w:val="20"/>
              </w:rPr>
            </w:pPr>
            <w:r w:rsidRPr="003534F7">
              <w:rPr>
                <w:color w:val="000000"/>
                <w:sz w:val="20"/>
              </w:rPr>
              <w:t>Immo. corp. / ETP</w:t>
            </w:r>
          </w:p>
        </w:tc>
        <w:tc>
          <w:tcPr>
            <w:tcW w:w="1520" w:type="dxa"/>
            <w:tcBorders>
              <w:top w:val="nil"/>
              <w:left w:val="nil"/>
              <w:bottom w:val="single" w:sz="8" w:space="0" w:color="auto"/>
              <w:right w:val="single" w:sz="4" w:space="0" w:color="auto"/>
            </w:tcBorders>
            <w:shd w:val="clear" w:color="000000" w:fill="F2F2F2"/>
            <w:vAlign w:val="center"/>
            <w:hideMark/>
          </w:tcPr>
          <w:p w14:paraId="7FFC1C23" w14:textId="77777777" w:rsidR="003534F7" w:rsidRPr="003534F7" w:rsidRDefault="003534F7" w:rsidP="003534F7">
            <w:pPr>
              <w:spacing w:before="0" w:after="0"/>
              <w:ind w:left="0"/>
              <w:jc w:val="center"/>
              <w:rPr>
                <w:color w:val="000000"/>
                <w:sz w:val="20"/>
              </w:rPr>
            </w:pPr>
            <w:r w:rsidRPr="003534F7">
              <w:rPr>
                <w:color w:val="000000"/>
                <w:sz w:val="20"/>
              </w:rPr>
              <w:t> </w:t>
            </w:r>
          </w:p>
        </w:tc>
        <w:tc>
          <w:tcPr>
            <w:tcW w:w="1520" w:type="dxa"/>
            <w:tcBorders>
              <w:top w:val="nil"/>
              <w:left w:val="nil"/>
              <w:bottom w:val="single" w:sz="8" w:space="0" w:color="auto"/>
              <w:right w:val="single" w:sz="4" w:space="0" w:color="auto"/>
            </w:tcBorders>
            <w:shd w:val="clear" w:color="000000" w:fill="F2F2F2"/>
            <w:vAlign w:val="center"/>
            <w:hideMark/>
          </w:tcPr>
          <w:p w14:paraId="7FFC1C24" w14:textId="77777777" w:rsidR="003534F7" w:rsidRPr="003534F7" w:rsidRDefault="003534F7" w:rsidP="003534F7">
            <w:pPr>
              <w:spacing w:before="0" w:after="0"/>
              <w:ind w:left="0"/>
              <w:jc w:val="center"/>
              <w:rPr>
                <w:color w:val="000000"/>
                <w:sz w:val="20"/>
              </w:rPr>
            </w:pPr>
            <w:r w:rsidRPr="003534F7">
              <w:rPr>
                <w:color w:val="000000"/>
                <w:sz w:val="20"/>
              </w:rPr>
              <w:t> </w:t>
            </w:r>
          </w:p>
        </w:tc>
      </w:tr>
      <w:tr w:rsidR="003534F7" w:rsidRPr="003534F7" w14:paraId="7FFC1C2E" w14:textId="77777777" w:rsidTr="003534F7">
        <w:trPr>
          <w:trHeight w:val="878"/>
        </w:trPr>
        <w:tc>
          <w:tcPr>
            <w:tcW w:w="31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FC1C26"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Section J : </w:t>
            </w:r>
            <w:r w:rsidRPr="003534F7">
              <w:rPr>
                <w:rFonts w:ascii="Times New Roman" w:hAnsi="Times New Roman" w:cs="Times New Roman"/>
                <w:color w:val="000000"/>
                <w:sz w:val="24"/>
                <w:szCs w:val="24"/>
              </w:rPr>
              <w:br/>
              <w:t>Information et communication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FFC1C27" w14:textId="77777777" w:rsidR="003534F7" w:rsidRPr="003534F7" w:rsidRDefault="003534F7" w:rsidP="003534F7">
            <w:pPr>
              <w:spacing w:before="0" w:after="0"/>
              <w:ind w:left="0"/>
              <w:jc w:val="center"/>
              <w:rPr>
                <w:sz w:val="20"/>
              </w:rPr>
            </w:pPr>
            <w:r w:rsidRPr="003534F7">
              <w:rPr>
                <w:sz w:val="20"/>
              </w:rPr>
              <w:t>11,0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FFC1C28" w14:textId="77777777" w:rsidR="003534F7" w:rsidRPr="003534F7" w:rsidRDefault="003534F7" w:rsidP="003534F7">
            <w:pPr>
              <w:spacing w:before="0" w:after="0"/>
              <w:ind w:left="0"/>
              <w:jc w:val="center"/>
              <w:rPr>
                <w:sz w:val="20"/>
              </w:rPr>
            </w:pPr>
            <w:r w:rsidRPr="003534F7">
              <w:rPr>
                <w:sz w:val="20"/>
              </w:rPr>
              <w:t>119,0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FFC1C29" w14:textId="77777777" w:rsidR="003534F7" w:rsidRPr="003534F7" w:rsidRDefault="003534F7" w:rsidP="003534F7">
            <w:pPr>
              <w:spacing w:before="0" w:after="0"/>
              <w:ind w:left="0"/>
              <w:jc w:val="center"/>
              <w:rPr>
                <w:sz w:val="20"/>
              </w:rPr>
            </w:pPr>
            <w:r w:rsidRPr="003534F7">
              <w:rPr>
                <w:sz w:val="20"/>
              </w:rPr>
              <w:t>46,0</w:t>
            </w:r>
          </w:p>
        </w:tc>
        <w:tc>
          <w:tcPr>
            <w:tcW w:w="1520" w:type="dxa"/>
            <w:tcBorders>
              <w:top w:val="nil"/>
              <w:left w:val="nil"/>
              <w:bottom w:val="single" w:sz="4" w:space="0" w:color="auto"/>
              <w:right w:val="single" w:sz="4" w:space="0" w:color="auto"/>
            </w:tcBorders>
            <w:shd w:val="clear" w:color="auto" w:fill="auto"/>
            <w:vAlign w:val="center"/>
            <w:hideMark/>
          </w:tcPr>
          <w:p w14:paraId="7FFC1C2A" w14:textId="77777777" w:rsidR="003534F7" w:rsidRPr="003534F7" w:rsidRDefault="003534F7" w:rsidP="003534F7">
            <w:pPr>
              <w:spacing w:before="0" w:after="0"/>
              <w:ind w:left="0"/>
              <w:jc w:val="center"/>
              <w:rPr>
                <w:color w:val="000000"/>
                <w:sz w:val="20"/>
              </w:rPr>
            </w:pPr>
            <w:r w:rsidRPr="003534F7">
              <w:rPr>
                <w:color w:val="000000"/>
                <w:sz w:val="20"/>
              </w:rPr>
              <w:t>76</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FFC1C2B" w14:textId="77777777" w:rsidR="003534F7" w:rsidRPr="003534F7" w:rsidRDefault="003534F7" w:rsidP="003534F7">
            <w:pPr>
              <w:spacing w:before="0" w:after="0"/>
              <w:ind w:left="0"/>
              <w:jc w:val="center"/>
              <w:rPr>
                <w:sz w:val="20"/>
              </w:rPr>
            </w:pPr>
            <w:r w:rsidRPr="003534F7">
              <w:rPr>
                <w:sz w:val="20"/>
              </w:rPr>
              <w:t>180,1</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FFC1C2C" w14:textId="77777777" w:rsidR="003534F7" w:rsidRPr="003534F7" w:rsidRDefault="003534F7" w:rsidP="003534F7">
            <w:pPr>
              <w:spacing w:before="0" w:after="0"/>
              <w:ind w:left="0"/>
              <w:jc w:val="center"/>
              <w:rPr>
                <w:sz w:val="20"/>
              </w:rPr>
            </w:pPr>
            <w:r w:rsidRPr="003534F7">
              <w:rPr>
                <w:sz w:val="20"/>
              </w:rPr>
              <w:t>67</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FFC1C2D" w14:textId="77777777" w:rsidR="003534F7" w:rsidRPr="003534F7" w:rsidRDefault="003534F7" w:rsidP="003534F7">
            <w:pPr>
              <w:spacing w:before="0" w:after="0"/>
              <w:ind w:left="0"/>
              <w:jc w:val="center"/>
              <w:rPr>
                <w:sz w:val="20"/>
              </w:rPr>
            </w:pPr>
            <w:r w:rsidRPr="003534F7">
              <w:rPr>
                <w:sz w:val="20"/>
              </w:rPr>
              <w:t>95,0</w:t>
            </w:r>
          </w:p>
        </w:tc>
      </w:tr>
      <w:tr w:rsidR="003534F7" w:rsidRPr="003534F7" w14:paraId="7FFC1C37" w14:textId="7777777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14:paraId="7FFC1C2F"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Division 62 : </w:t>
            </w:r>
            <w:r w:rsidRPr="003534F7">
              <w:rPr>
                <w:rFonts w:ascii="Times New Roman" w:hAnsi="Times New Roman" w:cs="Times New Roman"/>
                <w:color w:val="000000"/>
                <w:sz w:val="24"/>
                <w:szCs w:val="24"/>
              </w:rPr>
              <w:br/>
              <w:t>Programmation, conseil et autres activités informatiques</w:t>
            </w:r>
          </w:p>
        </w:tc>
        <w:tc>
          <w:tcPr>
            <w:tcW w:w="1520" w:type="dxa"/>
            <w:tcBorders>
              <w:top w:val="nil"/>
              <w:left w:val="nil"/>
              <w:bottom w:val="single" w:sz="4" w:space="0" w:color="auto"/>
              <w:right w:val="single" w:sz="4" w:space="0" w:color="auto"/>
            </w:tcBorders>
            <w:shd w:val="clear" w:color="auto" w:fill="auto"/>
            <w:noWrap/>
            <w:vAlign w:val="center"/>
            <w:hideMark/>
          </w:tcPr>
          <w:p w14:paraId="7FFC1C30" w14:textId="77777777" w:rsidR="003534F7" w:rsidRPr="003534F7" w:rsidRDefault="003534F7" w:rsidP="003534F7">
            <w:pPr>
              <w:spacing w:before="0" w:after="0"/>
              <w:ind w:left="0"/>
              <w:jc w:val="center"/>
              <w:rPr>
                <w:sz w:val="20"/>
              </w:rPr>
            </w:pPr>
            <w:r w:rsidRPr="003534F7">
              <w:rPr>
                <w:sz w:val="20"/>
              </w:rPr>
              <w:t>13,0</w:t>
            </w:r>
          </w:p>
        </w:tc>
        <w:tc>
          <w:tcPr>
            <w:tcW w:w="1520" w:type="dxa"/>
            <w:tcBorders>
              <w:top w:val="nil"/>
              <w:left w:val="nil"/>
              <w:bottom w:val="single" w:sz="4" w:space="0" w:color="auto"/>
              <w:right w:val="single" w:sz="4" w:space="0" w:color="auto"/>
            </w:tcBorders>
            <w:shd w:val="clear" w:color="auto" w:fill="auto"/>
            <w:noWrap/>
            <w:vAlign w:val="center"/>
            <w:hideMark/>
          </w:tcPr>
          <w:p w14:paraId="7FFC1C31" w14:textId="77777777" w:rsidR="003534F7" w:rsidRPr="003534F7" w:rsidRDefault="003534F7" w:rsidP="003534F7">
            <w:pPr>
              <w:spacing w:before="0" w:after="0"/>
              <w:ind w:left="0"/>
              <w:jc w:val="center"/>
              <w:rPr>
                <w:sz w:val="20"/>
              </w:rPr>
            </w:pPr>
            <w:r w:rsidRPr="003534F7">
              <w:rPr>
                <w:sz w:val="20"/>
              </w:rPr>
              <w:t>91,1</w:t>
            </w:r>
          </w:p>
        </w:tc>
        <w:tc>
          <w:tcPr>
            <w:tcW w:w="1520" w:type="dxa"/>
            <w:tcBorders>
              <w:top w:val="nil"/>
              <w:left w:val="nil"/>
              <w:bottom w:val="single" w:sz="4" w:space="0" w:color="auto"/>
              <w:right w:val="single" w:sz="4" w:space="0" w:color="auto"/>
            </w:tcBorders>
            <w:shd w:val="clear" w:color="auto" w:fill="auto"/>
            <w:noWrap/>
            <w:vAlign w:val="center"/>
            <w:hideMark/>
          </w:tcPr>
          <w:p w14:paraId="7FFC1C32" w14:textId="77777777" w:rsidR="003534F7" w:rsidRPr="003534F7" w:rsidRDefault="003534F7" w:rsidP="003534F7">
            <w:pPr>
              <w:spacing w:before="0" w:after="0"/>
              <w:ind w:left="0"/>
              <w:jc w:val="center"/>
              <w:rPr>
                <w:sz w:val="20"/>
              </w:rPr>
            </w:pPr>
            <w:r w:rsidRPr="003534F7">
              <w:rPr>
                <w:sz w:val="20"/>
              </w:rPr>
              <w:t>51,0</w:t>
            </w:r>
          </w:p>
        </w:tc>
        <w:tc>
          <w:tcPr>
            <w:tcW w:w="1520" w:type="dxa"/>
            <w:tcBorders>
              <w:top w:val="nil"/>
              <w:left w:val="nil"/>
              <w:bottom w:val="single" w:sz="4" w:space="0" w:color="auto"/>
              <w:right w:val="single" w:sz="4" w:space="0" w:color="auto"/>
            </w:tcBorders>
            <w:shd w:val="clear" w:color="auto" w:fill="auto"/>
            <w:vAlign w:val="center"/>
            <w:hideMark/>
          </w:tcPr>
          <w:p w14:paraId="7FFC1C33" w14:textId="77777777" w:rsidR="003534F7" w:rsidRPr="003534F7" w:rsidRDefault="003534F7" w:rsidP="003534F7">
            <w:pPr>
              <w:spacing w:before="0" w:after="0"/>
              <w:ind w:left="0"/>
              <w:jc w:val="center"/>
              <w:rPr>
                <w:color w:val="000000"/>
                <w:sz w:val="20"/>
              </w:rPr>
            </w:pPr>
            <w:r w:rsidRPr="003534F7">
              <w:rPr>
                <w:color w:val="000000"/>
                <w:sz w:val="20"/>
              </w:rPr>
              <w:t>75</w:t>
            </w:r>
          </w:p>
        </w:tc>
        <w:tc>
          <w:tcPr>
            <w:tcW w:w="1520" w:type="dxa"/>
            <w:tcBorders>
              <w:top w:val="nil"/>
              <w:left w:val="nil"/>
              <w:bottom w:val="single" w:sz="4" w:space="0" w:color="auto"/>
              <w:right w:val="single" w:sz="4" w:space="0" w:color="auto"/>
            </w:tcBorders>
            <w:shd w:val="clear" w:color="auto" w:fill="auto"/>
            <w:noWrap/>
            <w:vAlign w:val="center"/>
            <w:hideMark/>
          </w:tcPr>
          <w:p w14:paraId="7FFC1C34" w14:textId="77777777" w:rsidR="003534F7" w:rsidRPr="003534F7" w:rsidRDefault="003534F7" w:rsidP="003534F7">
            <w:pPr>
              <w:spacing w:before="0" w:after="0"/>
              <w:ind w:left="0"/>
              <w:jc w:val="center"/>
              <w:rPr>
                <w:sz w:val="20"/>
              </w:rPr>
            </w:pPr>
            <w:r w:rsidRPr="003534F7">
              <w:rPr>
                <w:sz w:val="20"/>
              </w:rPr>
              <w:t>26,3</w:t>
            </w:r>
          </w:p>
        </w:tc>
        <w:tc>
          <w:tcPr>
            <w:tcW w:w="1520" w:type="dxa"/>
            <w:tcBorders>
              <w:top w:val="nil"/>
              <w:left w:val="nil"/>
              <w:bottom w:val="single" w:sz="4" w:space="0" w:color="auto"/>
              <w:right w:val="single" w:sz="4" w:space="0" w:color="auto"/>
            </w:tcBorders>
            <w:shd w:val="clear" w:color="auto" w:fill="auto"/>
            <w:noWrap/>
            <w:vAlign w:val="center"/>
            <w:hideMark/>
          </w:tcPr>
          <w:p w14:paraId="7FFC1C35" w14:textId="77777777" w:rsidR="003534F7" w:rsidRPr="003534F7" w:rsidRDefault="003534F7" w:rsidP="003534F7">
            <w:pPr>
              <w:spacing w:before="0" w:after="0"/>
              <w:ind w:left="0"/>
              <w:jc w:val="center"/>
              <w:rPr>
                <w:sz w:val="20"/>
              </w:rPr>
            </w:pPr>
            <w:r w:rsidRPr="003534F7">
              <w:rPr>
                <w:sz w:val="20"/>
              </w:rPr>
              <w:t>81</w:t>
            </w:r>
          </w:p>
        </w:tc>
        <w:tc>
          <w:tcPr>
            <w:tcW w:w="1520" w:type="dxa"/>
            <w:tcBorders>
              <w:top w:val="nil"/>
              <w:left w:val="nil"/>
              <w:bottom w:val="single" w:sz="4" w:space="0" w:color="auto"/>
              <w:right w:val="single" w:sz="4" w:space="0" w:color="auto"/>
            </w:tcBorders>
            <w:shd w:val="clear" w:color="auto" w:fill="auto"/>
            <w:noWrap/>
            <w:vAlign w:val="center"/>
            <w:hideMark/>
          </w:tcPr>
          <w:p w14:paraId="7FFC1C36" w14:textId="77777777" w:rsidR="003534F7" w:rsidRPr="003534F7" w:rsidRDefault="003534F7" w:rsidP="003534F7">
            <w:pPr>
              <w:spacing w:before="0" w:after="0"/>
              <w:ind w:left="0"/>
              <w:jc w:val="center"/>
              <w:rPr>
                <w:sz w:val="20"/>
              </w:rPr>
            </w:pPr>
            <w:r w:rsidRPr="003534F7">
              <w:rPr>
                <w:sz w:val="20"/>
              </w:rPr>
              <w:t>83,0</w:t>
            </w:r>
          </w:p>
        </w:tc>
      </w:tr>
      <w:tr w:rsidR="003534F7" w:rsidRPr="003534F7" w14:paraId="7FFC1C40" w14:textId="7777777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14:paraId="7FFC1C38"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Groupe 620 : </w:t>
            </w:r>
            <w:r w:rsidRPr="003534F7">
              <w:rPr>
                <w:rFonts w:ascii="Times New Roman" w:hAnsi="Times New Roman" w:cs="Times New Roman"/>
                <w:color w:val="000000"/>
                <w:sz w:val="24"/>
                <w:szCs w:val="24"/>
              </w:rPr>
              <w:br/>
              <w:t>Programmation, conseil et autres activités informatiques</w:t>
            </w:r>
          </w:p>
        </w:tc>
        <w:tc>
          <w:tcPr>
            <w:tcW w:w="1520" w:type="dxa"/>
            <w:tcBorders>
              <w:top w:val="nil"/>
              <w:left w:val="nil"/>
              <w:bottom w:val="single" w:sz="4" w:space="0" w:color="auto"/>
              <w:right w:val="single" w:sz="4" w:space="0" w:color="auto"/>
            </w:tcBorders>
            <w:shd w:val="clear" w:color="auto" w:fill="auto"/>
            <w:noWrap/>
            <w:vAlign w:val="center"/>
            <w:hideMark/>
          </w:tcPr>
          <w:p w14:paraId="7FFC1C39" w14:textId="77777777" w:rsidR="003534F7" w:rsidRPr="003534F7" w:rsidRDefault="003534F7" w:rsidP="003534F7">
            <w:pPr>
              <w:spacing w:before="0" w:after="0"/>
              <w:ind w:left="0"/>
              <w:jc w:val="center"/>
              <w:rPr>
                <w:sz w:val="20"/>
              </w:rPr>
            </w:pPr>
            <w:r w:rsidRPr="003534F7">
              <w:rPr>
                <w:sz w:val="20"/>
              </w:rPr>
              <w:t>13,0</w:t>
            </w:r>
          </w:p>
        </w:tc>
        <w:tc>
          <w:tcPr>
            <w:tcW w:w="1520" w:type="dxa"/>
            <w:tcBorders>
              <w:top w:val="nil"/>
              <w:left w:val="nil"/>
              <w:bottom w:val="single" w:sz="4" w:space="0" w:color="auto"/>
              <w:right w:val="single" w:sz="4" w:space="0" w:color="auto"/>
            </w:tcBorders>
            <w:shd w:val="clear" w:color="auto" w:fill="auto"/>
            <w:noWrap/>
            <w:vAlign w:val="center"/>
            <w:hideMark/>
          </w:tcPr>
          <w:p w14:paraId="7FFC1C3A" w14:textId="77777777" w:rsidR="003534F7" w:rsidRPr="003534F7" w:rsidRDefault="003534F7" w:rsidP="003534F7">
            <w:pPr>
              <w:spacing w:before="0" w:after="0"/>
              <w:ind w:left="0"/>
              <w:jc w:val="center"/>
              <w:rPr>
                <w:sz w:val="20"/>
              </w:rPr>
            </w:pPr>
            <w:r w:rsidRPr="003534F7">
              <w:rPr>
                <w:sz w:val="20"/>
              </w:rPr>
              <w:t>91,1</w:t>
            </w:r>
          </w:p>
        </w:tc>
        <w:tc>
          <w:tcPr>
            <w:tcW w:w="1520" w:type="dxa"/>
            <w:tcBorders>
              <w:top w:val="nil"/>
              <w:left w:val="nil"/>
              <w:bottom w:val="single" w:sz="4" w:space="0" w:color="auto"/>
              <w:right w:val="single" w:sz="4" w:space="0" w:color="auto"/>
            </w:tcBorders>
            <w:shd w:val="clear" w:color="auto" w:fill="auto"/>
            <w:noWrap/>
            <w:vAlign w:val="center"/>
            <w:hideMark/>
          </w:tcPr>
          <w:p w14:paraId="7FFC1C3B" w14:textId="77777777" w:rsidR="003534F7" w:rsidRPr="003534F7" w:rsidRDefault="003534F7" w:rsidP="003534F7">
            <w:pPr>
              <w:spacing w:before="0" w:after="0"/>
              <w:ind w:left="0"/>
              <w:jc w:val="center"/>
              <w:rPr>
                <w:sz w:val="20"/>
              </w:rPr>
            </w:pPr>
            <w:r w:rsidRPr="003534F7">
              <w:rPr>
                <w:sz w:val="20"/>
              </w:rPr>
              <w:t>51,0</w:t>
            </w:r>
          </w:p>
        </w:tc>
        <w:tc>
          <w:tcPr>
            <w:tcW w:w="1520" w:type="dxa"/>
            <w:tcBorders>
              <w:top w:val="nil"/>
              <w:left w:val="nil"/>
              <w:bottom w:val="single" w:sz="4" w:space="0" w:color="auto"/>
              <w:right w:val="single" w:sz="4" w:space="0" w:color="auto"/>
            </w:tcBorders>
            <w:shd w:val="clear" w:color="auto" w:fill="auto"/>
            <w:vAlign w:val="center"/>
            <w:hideMark/>
          </w:tcPr>
          <w:p w14:paraId="7FFC1C3C" w14:textId="77777777" w:rsidR="003534F7" w:rsidRPr="003534F7" w:rsidRDefault="003534F7" w:rsidP="003534F7">
            <w:pPr>
              <w:spacing w:before="0" w:after="0"/>
              <w:ind w:left="0"/>
              <w:jc w:val="center"/>
              <w:rPr>
                <w:color w:val="000000"/>
                <w:sz w:val="20"/>
              </w:rPr>
            </w:pPr>
            <w:r w:rsidRPr="003534F7">
              <w:rPr>
                <w:color w:val="000000"/>
                <w:sz w:val="20"/>
              </w:rPr>
              <w:t>75</w:t>
            </w:r>
          </w:p>
        </w:tc>
        <w:tc>
          <w:tcPr>
            <w:tcW w:w="1520" w:type="dxa"/>
            <w:tcBorders>
              <w:top w:val="nil"/>
              <w:left w:val="nil"/>
              <w:bottom w:val="single" w:sz="4" w:space="0" w:color="auto"/>
              <w:right w:val="single" w:sz="4" w:space="0" w:color="auto"/>
            </w:tcBorders>
            <w:shd w:val="clear" w:color="auto" w:fill="auto"/>
            <w:noWrap/>
            <w:vAlign w:val="center"/>
            <w:hideMark/>
          </w:tcPr>
          <w:p w14:paraId="7FFC1C3D" w14:textId="77777777" w:rsidR="003534F7" w:rsidRPr="003534F7" w:rsidRDefault="003534F7" w:rsidP="003534F7">
            <w:pPr>
              <w:spacing w:before="0" w:after="0"/>
              <w:ind w:left="0"/>
              <w:jc w:val="center"/>
              <w:rPr>
                <w:sz w:val="20"/>
              </w:rPr>
            </w:pPr>
            <w:r w:rsidRPr="003534F7">
              <w:rPr>
                <w:sz w:val="20"/>
              </w:rPr>
              <w:t>26,3</w:t>
            </w:r>
          </w:p>
        </w:tc>
        <w:tc>
          <w:tcPr>
            <w:tcW w:w="1520" w:type="dxa"/>
            <w:tcBorders>
              <w:top w:val="nil"/>
              <w:left w:val="nil"/>
              <w:bottom w:val="single" w:sz="4" w:space="0" w:color="auto"/>
              <w:right w:val="single" w:sz="4" w:space="0" w:color="auto"/>
            </w:tcBorders>
            <w:shd w:val="clear" w:color="auto" w:fill="auto"/>
            <w:noWrap/>
            <w:vAlign w:val="center"/>
            <w:hideMark/>
          </w:tcPr>
          <w:p w14:paraId="7FFC1C3E" w14:textId="77777777" w:rsidR="003534F7" w:rsidRPr="003534F7" w:rsidRDefault="003534F7" w:rsidP="003534F7">
            <w:pPr>
              <w:spacing w:before="0" w:after="0"/>
              <w:ind w:left="0"/>
              <w:jc w:val="center"/>
              <w:rPr>
                <w:sz w:val="20"/>
              </w:rPr>
            </w:pPr>
            <w:r w:rsidRPr="003534F7">
              <w:rPr>
                <w:sz w:val="20"/>
              </w:rPr>
              <w:t>81</w:t>
            </w:r>
          </w:p>
        </w:tc>
        <w:tc>
          <w:tcPr>
            <w:tcW w:w="1520" w:type="dxa"/>
            <w:tcBorders>
              <w:top w:val="nil"/>
              <w:left w:val="nil"/>
              <w:bottom w:val="single" w:sz="4" w:space="0" w:color="auto"/>
              <w:right w:val="single" w:sz="4" w:space="0" w:color="auto"/>
            </w:tcBorders>
            <w:shd w:val="clear" w:color="auto" w:fill="auto"/>
            <w:noWrap/>
            <w:vAlign w:val="center"/>
            <w:hideMark/>
          </w:tcPr>
          <w:p w14:paraId="7FFC1C3F" w14:textId="77777777" w:rsidR="003534F7" w:rsidRPr="003534F7" w:rsidRDefault="003534F7" w:rsidP="003534F7">
            <w:pPr>
              <w:spacing w:before="0" w:after="0"/>
              <w:ind w:left="0"/>
              <w:jc w:val="center"/>
              <w:rPr>
                <w:sz w:val="20"/>
              </w:rPr>
            </w:pPr>
            <w:r w:rsidRPr="003534F7">
              <w:rPr>
                <w:sz w:val="20"/>
              </w:rPr>
              <w:t>83,0</w:t>
            </w:r>
          </w:p>
        </w:tc>
      </w:tr>
      <w:tr w:rsidR="003534F7" w:rsidRPr="003534F7" w14:paraId="7FFC1C49" w14:textId="7777777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14:paraId="7FFC1C41"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Classe 6202 : </w:t>
            </w:r>
            <w:r w:rsidRPr="003534F7">
              <w:rPr>
                <w:rFonts w:ascii="Times New Roman" w:hAnsi="Times New Roman" w:cs="Times New Roman"/>
                <w:color w:val="000000"/>
                <w:sz w:val="24"/>
                <w:szCs w:val="24"/>
              </w:rPr>
              <w:br/>
              <w:t>Conseil informatique</w:t>
            </w:r>
          </w:p>
        </w:tc>
        <w:tc>
          <w:tcPr>
            <w:tcW w:w="1520" w:type="dxa"/>
            <w:tcBorders>
              <w:top w:val="nil"/>
              <w:left w:val="nil"/>
              <w:bottom w:val="single" w:sz="4" w:space="0" w:color="auto"/>
              <w:right w:val="single" w:sz="4" w:space="0" w:color="auto"/>
            </w:tcBorders>
            <w:shd w:val="clear" w:color="auto" w:fill="auto"/>
            <w:noWrap/>
            <w:vAlign w:val="center"/>
            <w:hideMark/>
          </w:tcPr>
          <w:p w14:paraId="7FFC1C42" w14:textId="77777777" w:rsidR="003534F7" w:rsidRPr="003534F7" w:rsidRDefault="003534F7" w:rsidP="003534F7">
            <w:pPr>
              <w:spacing w:before="0" w:after="0"/>
              <w:ind w:left="0"/>
              <w:jc w:val="center"/>
              <w:rPr>
                <w:sz w:val="20"/>
              </w:rPr>
            </w:pPr>
            <w:r w:rsidRPr="003534F7">
              <w:rPr>
                <w:sz w:val="20"/>
              </w:rPr>
              <w:t>11,0</w:t>
            </w:r>
          </w:p>
        </w:tc>
        <w:tc>
          <w:tcPr>
            <w:tcW w:w="1520" w:type="dxa"/>
            <w:tcBorders>
              <w:top w:val="nil"/>
              <w:left w:val="nil"/>
              <w:bottom w:val="single" w:sz="4" w:space="0" w:color="auto"/>
              <w:right w:val="single" w:sz="4" w:space="0" w:color="auto"/>
            </w:tcBorders>
            <w:shd w:val="clear" w:color="auto" w:fill="auto"/>
            <w:noWrap/>
            <w:vAlign w:val="center"/>
            <w:hideMark/>
          </w:tcPr>
          <w:p w14:paraId="7FFC1C43" w14:textId="77777777" w:rsidR="003534F7" w:rsidRPr="003534F7" w:rsidRDefault="003534F7" w:rsidP="003534F7">
            <w:pPr>
              <w:spacing w:before="0" w:after="0"/>
              <w:ind w:left="0"/>
              <w:jc w:val="center"/>
              <w:rPr>
                <w:sz w:val="20"/>
              </w:rPr>
            </w:pPr>
            <w:r w:rsidRPr="003534F7">
              <w:rPr>
                <w:sz w:val="20"/>
              </w:rPr>
              <w:t>87,3</w:t>
            </w:r>
          </w:p>
        </w:tc>
        <w:tc>
          <w:tcPr>
            <w:tcW w:w="1520" w:type="dxa"/>
            <w:tcBorders>
              <w:top w:val="nil"/>
              <w:left w:val="nil"/>
              <w:bottom w:val="single" w:sz="4" w:space="0" w:color="auto"/>
              <w:right w:val="single" w:sz="4" w:space="0" w:color="auto"/>
            </w:tcBorders>
            <w:shd w:val="clear" w:color="auto" w:fill="auto"/>
            <w:noWrap/>
            <w:vAlign w:val="center"/>
            <w:hideMark/>
          </w:tcPr>
          <w:p w14:paraId="7FFC1C44" w14:textId="77777777" w:rsidR="003534F7" w:rsidRPr="003534F7" w:rsidRDefault="003534F7" w:rsidP="003534F7">
            <w:pPr>
              <w:spacing w:before="0" w:after="0"/>
              <w:ind w:left="0"/>
              <w:jc w:val="center"/>
              <w:rPr>
                <w:sz w:val="20"/>
              </w:rPr>
            </w:pPr>
            <w:r w:rsidRPr="003534F7">
              <w:rPr>
                <w:sz w:val="20"/>
              </w:rPr>
              <w:t>53,0</w:t>
            </w:r>
          </w:p>
        </w:tc>
        <w:tc>
          <w:tcPr>
            <w:tcW w:w="1520" w:type="dxa"/>
            <w:tcBorders>
              <w:top w:val="nil"/>
              <w:left w:val="nil"/>
              <w:bottom w:val="single" w:sz="4" w:space="0" w:color="auto"/>
              <w:right w:val="single" w:sz="4" w:space="0" w:color="auto"/>
            </w:tcBorders>
            <w:shd w:val="clear" w:color="auto" w:fill="auto"/>
            <w:vAlign w:val="center"/>
            <w:hideMark/>
          </w:tcPr>
          <w:p w14:paraId="7FFC1C45" w14:textId="77777777" w:rsidR="003534F7" w:rsidRPr="003534F7" w:rsidRDefault="003534F7" w:rsidP="003534F7">
            <w:pPr>
              <w:spacing w:before="0" w:after="0"/>
              <w:ind w:left="0"/>
              <w:jc w:val="center"/>
              <w:rPr>
                <w:color w:val="000000"/>
                <w:sz w:val="20"/>
              </w:rPr>
            </w:pPr>
            <w:r w:rsidRPr="003534F7">
              <w:rPr>
                <w:color w:val="000000"/>
                <w:sz w:val="20"/>
              </w:rPr>
              <w:t>75</w:t>
            </w:r>
          </w:p>
        </w:tc>
        <w:tc>
          <w:tcPr>
            <w:tcW w:w="1520" w:type="dxa"/>
            <w:tcBorders>
              <w:top w:val="nil"/>
              <w:left w:val="nil"/>
              <w:bottom w:val="nil"/>
              <w:right w:val="single" w:sz="4" w:space="0" w:color="auto"/>
            </w:tcBorders>
            <w:shd w:val="clear" w:color="auto" w:fill="auto"/>
            <w:noWrap/>
            <w:vAlign w:val="center"/>
            <w:hideMark/>
          </w:tcPr>
          <w:p w14:paraId="7FFC1C46" w14:textId="77777777" w:rsidR="003534F7" w:rsidRPr="003534F7" w:rsidRDefault="003534F7" w:rsidP="003534F7">
            <w:pPr>
              <w:spacing w:before="0" w:after="0"/>
              <w:ind w:left="0"/>
              <w:jc w:val="center"/>
              <w:rPr>
                <w:sz w:val="20"/>
              </w:rPr>
            </w:pPr>
            <w:r w:rsidRPr="003534F7">
              <w:rPr>
                <w:sz w:val="20"/>
              </w:rPr>
              <w:t>15,9</w:t>
            </w:r>
          </w:p>
        </w:tc>
        <w:tc>
          <w:tcPr>
            <w:tcW w:w="1520" w:type="dxa"/>
            <w:tcBorders>
              <w:top w:val="nil"/>
              <w:left w:val="nil"/>
              <w:bottom w:val="single" w:sz="4" w:space="0" w:color="auto"/>
              <w:right w:val="single" w:sz="4" w:space="0" w:color="auto"/>
            </w:tcBorders>
            <w:shd w:val="clear" w:color="auto" w:fill="auto"/>
            <w:noWrap/>
            <w:vAlign w:val="center"/>
            <w:hideMark/>
          </w:tcPr>
          <w:p w14:paraId="7FFC1C47" w14:textId="77777777" w:rsidR="003534F7" w:rsidRPr="003534F7" w:rsidRDefault="003534F7" w:rsidP="003534F7">
            <w:pPr>
              <w:spacing w:before="0" w:after="0"/>
              <w:ind w:left="0"/>
              <w:jc w:val="center"/>
              <w:rPr>
                <w:sz w:val="20"/>
              </w:rPr>
            </w:pPr>
            <w:r w:rsidRPr="003534F7">
              <w:rPr>
                <w:sz w:val="20"/>
              </w:rPr>
              <w:t>84</w:t>
            </w:r>
          </w:p>
        </w:tc>
        <w:tc>
          <w:tcPr>
            <w:tcW w:w="1520" w:type="dxa"/>
            <w:tcBorders>
              <w:top w:val="nil"/>
              <w:left w:val="nil"/>
              <w:bottom w:val="single" w:sz="4" w:space="0" w:color="auto"/>
              <w:right w:val="single" w:sz="4" w:space="0" w:color="auto"/>
            </w:tcBorders>
            <w:shd w:val="clear" w:color="auto" w:fill="auto"/>
            <w:noWrap/>
            <w:vAlign w:val="center"/>
            <w:hideMark/>
          </w:tcPr>
          <w:p w14:paraId="7FFC1C48" w14:textId="77777777" w:rsidR="003534F7" w:rsidRPr="003534F7" w:rsidRDefault="003534F7" w:rsidP="003534F7">
            <w:pPr>
              <w:spacing w:before="0" w:after="0"/>
              <w:ind w:left="0"/>
              <w:jc w:val="center"/>
              <w:rPr>
                <w:sz w:val="20"/>
              </w:rPr>
            </w:pPr>
            <w:r w:rsidRPr="003534F7">
              <w:rPr>
                <w:sz w:val="20"/>
              </w:rPr>
              <w:t>84,0</w:t>
            </w:r>
          </w:p>
        </w:tc>
      </w:tr>
      <w:tr w:rsidR="003534F7" w:rsidRPr="003534F7" w14:paraId="7FFC1C52" w14:textId="7777777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14:paraId="7FFC1C4A"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Sous-Classe 6202A : </w:t>
            </w:r>
            <w:r w:rsidRPr="003534F7">
              <w:rPr>
                <w:rFonts w:ascii="Times New Roman" w:hAnsi="Times New Roman" w:cs="Times New Roman"/>
                <w:color w:val="000000"/>
                <w:sz w:val="24"/>
                <w:szCs w:val="24"/>
              </w:rPr>
              <w:br/>
              <w:t>Conseil en systèmes et logiciels informatiques</w:t>
            </w:r>
          </w:p>
        </w:tc>
        <w:tc>
          <w:tcPr>
            <w:tcW w:w="1520" w:type="dxa"/>
            <w:tcBorders>
              <w:top w:val="nil"/>
              <w:left w:val="nil"/>
              <w:bottom w:val="single" w:sz="4" w:space="0" w:color="auto"/>
              <w:right w:val="single" w:sz="4" w:space="0" w:color="auto"/>
            </w:tcBorders>
            <w:shd w:val="clear" w:color="auto" w:fill="auto"/>
            <w:noWrap/>
            <w:vAlign w:val="center"/>
            <w:hideMark/>
          </w:tcPr>
          <w:p w14:paraId="7FFC1C4B" w14:textId="77777777" w:rsidR="003534F7" w:rsidRPr="003534F7" w:rsidRDefault="003534F7" w:rsidP="003534F7">
            <w:pPr>
              <w:spacing w:before="0" w:after="0"/>
              <w:ind w:left="0"/>
              <w:jc w:val="center"/>
              <w:rPr>
                <w:sz w:val="20"/>
              </w:rPr>
            </w:pPr>
            <w:r w:rsidRPr="003534F7">
              <w:rPr>
                <w:sz w:val="20"/>
              </w:rPr>
              <w:t>10,0</w:t>
            </w:r>
          </w:p>
        </w:tc>
        <w:tc>
          <w:tcPr>
            <w:tcW w:w="1520" w:type="dxa"/>
            <w:tcBorders>
              <w:top w:val="nil"/>
              <w:left w:val="nil"/>
              <w:bottom w:val="single" w:sz="4" w:space="0" w:color="auto"/>
              <w:right w:val="single" w:sz="4" w:space="0" w:color="auto"/>
            </w:tcBorders>
            <w:shd w:val="clear" w:color="auto" w:fill="auto"/>
            <w:noWrap/>
            <w:vAlign w:val="center"/>
            <w:hideMark/>
          </w:tcPr>
          <w:p w14:paraId="7FFC1C4C" w14:textId="77777777" w:rsidR="003534F7" w:rsidRPr="003534F7" w:rsidRDefault="003534F7" w:rsidP="003534F7">
            <w:pPr>
              <w:spacing w:before="0" w:after="0"/>
              <w:ind w:left="0"/>
              <w:jc w:val="center"/>
              <w:rPr>
                <w:sz w:val="20"/>
              </w:rPr>
            </w:pPr>
            <w:r w:rsidRPr="003534F7">
              <w:rPr>
                <w:sz w:val="20"/>
              </w:rPr>
              <w:t>85,5</w:t>
            </w:r>
          </w:p>
        </w:tc>
        <w:tc>
          <w:tcPr>
            <w:tcW w:w="1520" w:type="dxa"/>
            <w:tcBorders>
              <w:top w:val="nil"/>
              <w:left w:val="nil"/>
              <w:bottom w:val="single" w:sz="4" w:space="0" w:color="auto"/>
              <w:right w:val="single" w:sz="4" w:space="0" w:color="auto"/>
            </w:tcBorders>
            <w:shd w:val="clear" w:color="auto" w:fill="auto"/>
            <w:noWrap/>
            <w:vAlign w:val="center"/>
            <w:hideMark/>
          </w:tcPr>
          <w:p w14:paraId="7FFC1C4D" w14:textId="77777777" w:rsidR="003534F7" w:rsidRPr="003534F7" w:rsidRDefault="003534F7" w:rsidP="003534F7">
            <w:pPr>
              <w:spacing w:before="0" w:after="0"/>
              <w:ind w:left="0"/>
              <w:jc w:val="center"/>
              <w:rPr>
                <w:sz w:val="20"/>
              </w:rPr>
            </w:pPr>
            <w:r w:rsidRPr="003534F7">
              <w:rPr>
                <w:sz w:val="20"/>
              </w:rPr>
              <w:t>54,0</w:t>
            </w:r>
          </w:p>
        </w:tc>
        <w:tc>
          <w:tcPr>
            <w:tcW w:w="1520" w:type="dxa"/>
            <w:tcBorders>
              <w:top w:val="nil"/>
              <w:left w:val="nil"/>
              <w:bottom w:val="single" w:sz="4" w:space="0" w:color="auto"/>
              <w:right w:val="single" w:sz="4" w:space="0" w:color="auto"/>
            </w:tcBorders>
            <w:shd w:val="clear" w:color="auto" w:fill="auto"/>
            <w:vAlign w:val="center"/>
            <w:hideMark/>
          </w:tcPr>
          <w:p w14:paraId="7FFC1C4E" w14:textId="77777777" w:rsidR="003534F7" w:rsidRPr="003534F7" w:rsidRDefault="003534F7" w:rsidP="003534F7">
            <w:pPr>
              <w:spacing w:before="0" w:after="0"/>
              <w:ind w:left="0"/>
              <w:jc w:val="center"/>
              <w:rPr>
                <w:color w:val="000000"/>
                <w:sz w:val="20"/>
              </w:rPr>
            </w:pPr>
            <w:r w:rsidRPr="003534F7">
              <w:rPr>
                <w:color w:val="000000"/>
                <w:sz w:val="20"/>
              </w:rPr>
              <w:t>74</w:t>
            </w:r>
          </w:p>
        </w:tc>
        <w:tc>
          <w:tcPr>
            <w:tcW w:w="1520" w:type="dxa"/>
            <w:tcBorders>
              <w:top w:val="single" w:sz="4" w:space="0" w:color="auto"/>
              <w:left w:val="nil"/>
              <w:bottom w:val="single" w:sz="4" w:space="0" w:color="auto"/>
              <w:right w:val="single" w:sz="4" w:space="0" w:color="auto"/>
            </w:tcBorders>
            <w:shd w:val="clear" w:color="000000" w:fill="FFE699"/>
            <w:vAlign w:val="center"/>
            <w:hideMark/>
          </w:tcPr>
          <w:p w14:paraId="7FFC1C4F" w14:textId="77777777" w:rsidR="003534F7" w:rsidRPr="003534F7" w:rsidRDefault="003534F7" w:rsidP="003534F7">
            <w:pPr>
              <w:spacing w:before="0" w:after="0"/>
              <w:ind w:left="0"/>
              <w:jc w:val="center"/>
              <w:rPr>
                <w:color w:val="000000"/>
                <w:sz w:val="20"/>
              </w:rPr>
            </w:pPr>
            <w:r w:rsidRPr="003534F7">
              <w:rPr>
                <w:color w:val="000000"/>
                <w:sz w:val="20"/>
              </w:rPr>
              <w:t>6,5</w:t>
            </w:r>
          </w:p>
        </w:tc>
        <w:tc>
          <w:tcPr>
            <w:tcW w:w="1520" w:type="dxa"/>
            <w:tcBorders>
              <w:top w:val="nil"/>
              <w:left w:val="nil"/>
              <w:bottom w:val="single" w:sz="4" w:space="0" w:color="auto"/>
              <w:right w:val="single" w:sz="4" w:space="0" w:color="auto"/>
            </w:tcBorders>
            <w:shd w:val="clear" w:color="000000" w:fill="FFE699"/>
            <w:noWrap/>
            <w:vAlign w:val="center"/>
            <w:hideMark/>
          </w:tcPr>
          <w:p w14:paraId="7FFC1C50" w14:textId="77777777" w:rsidR="003534F7" w:rsidRPr="003534F7" w:rsidRDefault="003534F7" w:rsidP="003534F7">
            <w:pPr>
              <w:spacing w:before="0" w:after="0"/>
              <w:ind w:left="0"/>
              <w:jc w:val="center"/>
              <w:rPr>
                <w:color w:val="000000"/>
                <w:sz w:val="20"/>
              </w:rPr>
            </w:pPr>
            <w:r w:rsidRPr="003534F7">
              <w:rPr>
                <w:color w:val="000000"/>
                <w:sz w:val="20"/>
              </w:rPr>
              <w:t>81</w:t>
            </w:r>
          </w:p>
        </w:tc>
        <w:tc>
          <w:tcPr>
            <w:tcW w:w="1520" w:type="dxa"/>
            <w:tcBorders>
              <w:top w:val="nil"/>
              <w:left w:val="nil"/>
              <w:bottom w:val="single" w:sz="4" w:space="0" w:color="auto"/>
              <w:right w:val="single" w:sz="4" w:space="0" w:color="auto"/>
            </w:tcBorders>
            <w:shd w:val="clear" w:color="000000" w:fill="FFE699"/>
            <w:noWrap/>
            <w:vAlign w:val="center"/>
            <w:hideMark/>
          </w:tcPr>
          <w:p w14:paraId="7FFC1C51" w14:textId="77777777" w:rsidR="003534F7" w:rsidRPr="003534F7" w:rsidRDefault="003534F7" w:rsidP="003534F7">
            <w:pPr>
              <w:spacing w:before="0" w:after="0"/>
              <w:ind w:left="0"/>
              <w:jc w:val="center"/>
              <w:rPr>
                <w:color w:val="000000"/>
                <w:sz w:val="20"/>
              </w:rPr>
            </w:pPr>
            <w:r w:rsidRPr="003534F7">
              <w:rPr>
                <w:color w:val="000000"/>
                <w:sz w:val="20"/>
              </w:rPr>
              <w:t>75</w:t>
            </w:r>
          </w:p>
        </w:tc>
      </w:tr>
    </w:tbl>
    <w:p w14:paraId="7FFC1C53" w14:textId="77777777" w:rsidR="003534F7" w:rsidRDefault="003534F7" w:rsidP="00E2533D">
      <w:pPr>
        <w:ind w:left="0"/>
      </w:pPr>
      <w:r>
        <w:t xml:space="preserve">Source : INSEE </w:t>
      </w:r>
    </w:p>
    <w:p w14:paraId="7FFC1C54" w14:textId="77777777" w:rsidR="001F3961" w:rsidRPr="00443015" w:rsidRDefault="003534F7" w:rsidP="00E2533D">
      <w:pPr>
        <w:ind w:left="0"/>
      </w:pPr>
      <w:r>
        <w:t xml:space="preserve">Les valeurs en couleurs ne sont pas disponibles à l’INSEE mais nous les avons estimés à partir des données Diane. </w:t>
      </w:r>
    </w:p>
    <w:p w14:paraId="7FFC1C55" w14:textId="77777777" w:rsidR="00443015" w:rsidRDefault="00443015" w:rsidP="00443015"/>
    <w:tbl>
      <w:tblPr>
        <w:tblW w:w="14236" w:type="dxa"/>
        <w:tblInd w:w="70" w:type="dxa"/>
        <w:tblLayout w:type="fixed"/>
        <w:tblCellMar>
          <w:left w:w="70" w:type="dxa"/>
          <w:right w:w="70" w:type="dxa"/>
        </w:tblCellMar>
        <w:tblLook w:val="04A0" w:firstRow="1" w:lastRow="0" w:firstColumn="1" w:lastColumn="0" w:noHBand="0" w:noVBand="1"/>
      </w:tblPr>
      <w:tblGrid>
        <w:gridCol w:w="3180"/>
        <w:gridCol w:w="1228"/>
        <w:gridCol w:w="1228"/>
        <w:gridCol w:w="1229"/>
        <w:gridCol w:w="1228"/>
        <w:gridCol w:w="1229"/>
        <w:gridCol w:w="1228"/>
        <w:gridCol w:w="1229"/>
        <w:gridCol w:w="1228"/>
        <w:gridCol w:w="1229"/>
      </w:tblGrid>
      <w:tr w:rsidR="003534F7" w:rsidRPr="003534F7" w14:paraId="7FFC1C5B" w14:textId="77777777" w:rsidTr="001B245F">
        <w:trPr>
          <w:trHeight w:val="435"/>
        </w:trPr>
        <w:tc>
          <w:tcPr>
            <w:tcW w:w="3180" w:type="dxa"/>
            <w:tcBorders>
              <w:top w:val="nil"/>
              <w:left w:val="nil"/>
              <w:bottom w:val="nil"/>
              <w:right w:val="nil"/>
            </w:tcBorders>
            <w:shd w:val="clear" w:color="auto" w:fill="auto"/>
            <w:noWrap/>
            <w:vAlign w:val="center"/>
            <w:hideMark/>
          </w:tcPr>
          <w:p w14:paraId="7FFC1C56" w14:textId="77777777" w:rsidR="003534F7" w:rsidRPr="003534F7" w:rsidRDefault="003534F7" w:rsidP="003534F7">
            <w:pPr>
              <w:spacing w:before="0" w:after="0"/>
              <w:ind w:left="0"/>
              <w:jc w:val="left"/>
              <w:rPr>
                <w:rFonts w:ascii="Times New Roman" w:hAnsi="Times New Roman" w:cs="Times New Roman"/>
                <w:sz w:val="20"/>
                <w:szCs w:val="24"/>
              </w:rPr>
            </w:pPr>
          </w:p>
        </w:tc>
        <w:tc>
          <w:tcPr>
            <w:tcW w:w="2456" w:type="dxa"/>
            <w:gridSpan w:val="2"/>
            <w:tcBorders>
              <w:top w:val="single" w:sz="8" w:space="0" w:color="auto"/>
              <w:left w:val="single" w:sz="8" w:space="0" w:color="auto"/>
              <w:bottom w:val="single" w:sz="8" w:space="0" w:color="auto"/>
              <w:right w:val="single" w:sz="4" w:space="0" w:color="auto"/>
            </w:tcBorders>
            <w:shd w:val="clear" w:color="000000" w:fill="F2F2F2"/>
            <w:vAlign w:val="center"/>
            <w:hideMark/>
          </w:tcPr>
          <w:p w14:paraId="7FFC1C57" w14:textId="77777777" w:rsidR="003534F7" w:rsidRPr="003534F7" w:rsidRDefault="003534F7" w:rsidP="003534F7">
            <w:pPr>
              <w:spacing w:before="0" w:after="0"/>
              <w:ind w:left="0"/>
              <w:jc w:val="center"/>
              <w:rPr>
                <w:b/>
                <w:bCs/>
                <w:szCs w:val="22"/>
              </w:rPr>
            </w:pPr>
            <w:r w:rsidRPr="003534F7">
              <w:rPr>
                <w:b/>
                <w:bCs/>
                <w:szCs w:val="22"/>
              </w:rPr>
              <w:t>Taux de marge</w:t>
            </w:r>
          </w:p>
        </w:tc>
        <w:tc>
          <w:tcPr>
            <w:tcW w:w="2457" w:type="dxa"/>
            <w:gridSpan w:val="2"/>
            <w:tcBorders>
              <w:top w:val="single" w:sz="8" w:space="0" w:color="auto"/>
              <w:left w:val="nil"/>
              <w:bottom w:val="single" w:sz="8" w:space="0" w:color="auto"/>
              <w:right w:val="single" w:sz="4" w:space="0" w:color="auto"/>
            </w:tcBorders>
            <w:shd w:val="clear" w:color="000000" w:fill="F2F2F2"/>
            <w:vAlign w:val="center"/>
            <w:hideMark/>
          </w:tcPr>
          <w:p w14:paraId="7FFC1C58" w14:textId="77777777" w:rsidR="003534F7" w:rsidRPr="003534F7" w:rsidRDefault="003534F7" w:rsidP="003534F7">
            <w:pPr>
              <w:spacing w:before="0" w:after="0"/>
              <w:ind w:left="0"/>
              <w:jc w:val="center"/>
              <w:rPr>
                <w:b/>
                <w:bCs/>
                <w:szCs w:val="22"/>
              </w:rPr>
            </w:pPr>
            <w:r w:rsidRPr="003534F7">
              <w:rPr>
                <w:b/>
                <w:bCs/>
                <w:szCs w:val="22"/>
              </w:rPr>
              <w:t>Partage de la VA</w:t>
            </w:r>
          </w:p>
        </w:tc>
        <w:tc>
          <w:tcPr>
            <w:tcW w:w="2457" w:type="dxa"/>
            <w:gridSpan w:val="2"/>
            <w:tcBorders>
              <w:top w:val="single" w:sz="8" w:space="0" w:color="auto"/>
              <w:left w:val="nil"/>
              <w:bottom w:val="single" w:sz="8" w:space="0" w:color="auto"/>
              <w:right w:val="single" w:sz="4" w:space="0" w:color="auto"/>
            </w:tcBorders>
            <w:shd w:val="clear" w:color="000000" w:fill="F2F2F2"/>
            <w:vAlign w:val="center"/>
            <w:hideMark/>
          </w:tcPr>
          <w:p w14:paraId="7FFC1C59" w14:textId="77777777" w:rsidR="003534F7" w:rsidRPr="003534F7" w:rsidRDefault="003534F7" w:rsidP="003534F7">
            <w:pPr>
              <w:spacing w:before="0" w:after="0"/>
              <w:ind w:left="0"/>
              <w:jc w:val="center"/>
              <w:rPr>
                <w:b/>
                <w:bCs/>
                <w:szCs w:val="22"/>
              </w:rPr>
            </w:pPr>
            <w:r w:rsidRPr="003534F7">
              <w:rPr>
                <w:b/>
                <w:bCs/>
                <w:szCs w:val="22"/>
              </w:rPr>
              <w:t>Ratios de rentabilité</w:t>
            </w:r>
          </w:p>
        </w:tc>
        <w:tc>
          <w:tcPr>
            <w:tcW w:w="3686" w:type="dxa"/>
            <w:gridSpan w:val="3"/>
            <w:tcBorders>
              <w:top w:val="single" w:sz="8" w:space="0" w:color="auto"/>
              <w:left w:val="nil"/>
              <w:bottom w:val="single" w:sz="8" w:space="0" w:color="auto"/>
              <w:right w:val="single" w:sz="8" w:space="0" w:color="auto"/>
            </w:tcBorders>
            <w:shd w:val="clear" w:color="000000" w:fill="F2F2F2"/>
            <w:vAlign w:val="center"/>
            <w:hideMark/>
          </w:tcPr>
          <w:p w14:paraId="7FFC1C5A" w14:textId="77777777" w:rsidR="003534F7" w:rsidRPr="003534F7" w:rsidRDefault="003534F7" w:rsidP="003534F7">
            <w:pPr>
              <w:spacing w:before="0" w:after="0"/>
              <w:ind w:left="0"/>
              <w:jc w:val="center"/>
              <w:rPr>
                <w:b/>
                <w:bCs/>
                <w:szCs w:val="22"/>
              </w:rPr>
            </w:pPr>
            <w:r w:rsidRPr="003534F7">
              <w:rPr>
                <w:b/>
                <w:bCs/>
                <w:szCs w:val="22"/>
              </w:rPr>
              <w:t>Ratios d'investissement</w:t>
            </w:r>
          </w:p>
        </w:tc>
      </w:tr>
      <w:tr w:rsidR="003534F7" w:rsidRPr="003534F7" w14:paraId="7FFC1C66" w14:textId="77777777" w:rsidTr="003534F7">
        <w:trPr>
          <w:trHeight w:val="1020"/>
        </w:trPr>
        <w:tc>
          <w:tcPr>
            <w:tcW w:w="3180" w:type="dxa"/>
            <w:tcBorders>
              <w:top w:val="nil"/>
              <w:left w:val="nil"/>
              <w:bottom w:val="nil"/>
              <w:right w:val="nil"/>
            </w:tcBorders>
            <w:shd w:val="clear" w:color="auto" w:fill="auto"/>
            <w:vAlign w:val="center"/>
            <w:hideMark/>
          </w:tcPr>
          <w:p w14:paraId="7FFC1C5C" w14:textId="77777777" w:rsidR="003534F7" w:rsidRPr="003534F7" w:rsidRDefault="003534F7" w:rsidP="003534F7">
            <w:pPr>
              <w:spacing w:before="0" w:after="0"/>
              <w:ind w:left="0"/>
              <w:jc w:val="right"/>
              <w:rPr>
                <w:b/>
                <w:bCs/>
                <w:color w:val="000000"/>
                <w:sz w:val="20"/>
              </w:rPr>
            </w:pPr>
            <w:r w:rsidRPr="003534F7">
              <w:rPr>
                <w:b/>
                <w:bCs/>
                <w:color w:val="000000"/>
                <w:sz w:val="20"/>
              </w:rPr>
              <w:t>Ratio</w:t>
            </w:r>
          </w:p>
        </w:tc>
        <w:tc>
          <w:tcPr>
            <w:tcW w:w="1228" w:type="dxa"/>
            <w:tcBorders>
              <w:top w:val="nil"/>
              <w:left w:val="single" w:sz="8" w:space="0" w:color="auto"/>
              <w:bottom w:val="single" w:sz="4" w:space="0" w:color="auto"/>
              <w:right w:val="single" w:sz="4" w:space="0" w:color="auto"/>
            </w:tcBorders>
            <w:shd w:val="clear" w:color="000000" w:fill="F2F2F2"/>
            <w:vAlign w:val="center"/>
            <w:hideMark/>
          </w:tcPr>
          <w:p w14:paraId="7FFC1C5D" w14:textId="77777777" w:rsidR="003534F7" w:rsidRPr="003534F7" w:rsidRDefault="003534F7" w:rsidP="003534F7">
            <w:pPr>
              <w:spacing w:before="0" w:after="0"/>
              <w:ind w:left="0"/>
              <w:jc w:val="center"/>
              <w:rPr>
                <w:color w:val="000000"/>
                <w:sz w:val="20"/>
              </w:rPr>
            </w:pPr>
            <w:r w:rsidRPr="003534F7">
              <w:rPr>
                <w:color w:val="000000"/>
                <w:sz w:val="20"/>
              </w:rPr>
              <w:t>Taux de marge d'exp</w:t>
            </w:r>
            <w:r>
              <w:rPr>
                <w:color w:val="000000"/>
                <w:sz w:val="20"/>
              </w:rPr>
              <w:t>l.</w:t>
            </w:r>
          </w:p>
        </w:tc>
        <w:tc>
          <w:tcPr>
            <w:tcW w:w="1228" w:type="dxa"/>
            <w:tcBorders>
              <w:top w:val="nil"/>
              <w:left w:val="nil"/>
              <w:bottom w:val="single" w:sz="4" w:space="0" w:color="auto"/>
              <w:right w:val="single" w:sz="4" w:space="0" w:color="auto"/>
            </w:tcBorders>
            <w:shd w:val="clear" w:color="000000" w:fill="F2F2F2"/>
            <w:vAlign w:val="center"/>
            <w:hideMark/>
          </w:tcPr>
          <w:p w14:paraId="7FFC1C5E" w14:textId="77777777" w:rsidR="003534F7" w:rsidRPr="003534F7" w:rsidRDefault="003534F7" w:rsidP="003534F7">
            <w:pPr>
              <w:spacing w:before="0" w:after="0"/>
              <w:ind w:left="0"/>
              <w:jc w:val="center"/>
              <w:rPr>
                <w:color w:val="000000"/>
                <w:sz w:val="20"/>
              </w:rPr>
            </w:pPr>
            <w:r w:rsidRPr="003534F7">
              <w:rPr>
                <w:color w:val="000000"/>
                <w:sz w:val="20"/>
              </w:rPr>
              <w:t>Taux de marge nette</w:t>
            </w:r>
          </w:p>
        </w:tc>
        <w:tc>
          <w:tcPr>
            <w:tcW w:w="1229" w:type="dxa"/>
            <w:tcBorders>
              <w:top w:val="nil"/>
              <w:left w:val="nil"/>
              <w:bottom w:val="single" w:sz="4" w:space="0" w:color="auto"/>
              <w:right w:val="single" w:sz="4" w:space="0" w:color="auto"/>
            </w:tcBorders>
            <w:shd w:val="clear" w:color="000000" w:fill="F2F2F2"/>
            <w:vAlign w:val="center"/>
            <w:hideMark/>
          </w:tcPr>
          <w:p w14:paraId="7FFC1C5F" w14:textId="77777777" w:rsidR="003534F7" w:rsidRPr="003534F7" w:rsidRDefault="003534F7" w:rsidP="003534F7">
            <w:pPr>
              <w:spacing w:before="0" w:after="0"/>
              <w:ind w:left="0"/>
              <w:jc w:val="center"/>
              <w:rPr>
                <w:color w:val="000000"/>
                <w:sz w:val="20"/>
              </w:rPr>
            </w:pPr>
            <w:r w:rsidRPr="003534F7">
              <w:rPr>
                <w:color w:val="000000"/>
                <w:sz w:val="20"/>
              </w:rPr>
              <w:t>Taux de marge sur VA</w:t>
            </w:r>
          </w:p>
        </w:tc>
        <w:tc>
          <w:tcPr>
            <w:tcW w:w="1228" w:type="dxa"/>
            <w:tcBorders>
              <w:top w:val="nil"/>
              <w:left w:val="nil"/>
              <w:bottom w:val="single" w:sz="4" w:space="0" w:color="auto"/>
              <w:right w:val="single" w:sz="4" w:space="0" w:color="auto"/>
            </w:tcBorders>
            <w:shd w:val="clear" w:color="000000" w:fill="F2F2F2"/>
            <w:vAlign w:val="center"/>
            <w:hideMark/>
          </w:tcPr>
          <w:p w14:paraId="7FFC1C60" w14:textId="77777777" w:rsidR="003534F7" w:rsidRPr="003534F7" w:rsidRDefault="003534F7" w:rsidP="003534F7">
            <w:pPr>
              <w:spacing w:before="0" w:after="0"/>
              <w:ind w:left="0"/>
              <w:jc w:val="center"/>
              <w:rPr>
                <w:color w:val="000000"/>
                <w:sz w:val="20"/>
              </w:rPr>
            </w:pPr>
            <w:r w:rsidRPr="003534F7">
              <w:rPr>
                <w:color w:val="000000"/>
                <w:sz w:val="20"/>
              </w:rPr>
              <w:t>Part des frais de personnel</w:t>
            </w:r>
          </w:p>
        </w:tc>
        <w:tc>
          <w:tcPr>
            <w:tcW w:w="1229" w:type="dxa"/>
            <w:tcBorders>
              <w:top w:val="nil"/>
              <w:left w:val="nil"/>
              <w:bottom w:val="single" w:sz="4" w:space="0" w:color="auto"/>
              <w:right w:val="single" w:sz="4" w:space="0" w:color="auto"/>
            </w:tcBorders>
            <w:shd w:val="clear" w:color="000000" w:fill="F2F2F2"/>
            <w:vAlign w:val="center"/>
            <w:hideMark/>
          </w:tcPr>
          <w:p w14:paraId="7FFC1C61" w14:textId="77777777" w:rsidR="003534F7" w:rsidRPr="003534F7" w:rsidRDefault="003534F7" w:rsidP="003534F7">
            <w:pPr>
              <w:spacing w:before="0" w:after="0"/>
              <w:ind w:left="0"/>
              <w:jc w:val="center"/>
              <w:rPr>
                <w:color w:val="000000"/>
                <w:sz w:val="20"/>
              </w:rPr>
            </w:pPr>
            <w:r w:rsidRPr="003534F7">
              <w:rPr>
                <w:color w:val="000000"/>
                <w:sz w:val="20"/>
              </w:rPr>
              <w:t>Rentabilité éco</w:t>
            </w:r>
            <w:r>
              <w:rPr>
                <w:color w:val="000000"/>
                <w:sz w:val="20"/>
              </w:rPr>
              <w:t>.</w:t>
            </w:r>
          </w:p>
        </w:tc>
        <w:tc>
          <w:tcPr>
            <w:tcW w:w="1228" w:type="dxa"/>
            <w:tcBorders>
              <w:top w:val="nil"/>
              <w:left w:val="nil"/>
              <w:bottom w:val="single" w:sz="4" w:space="0" w:color="auto"/>
              <w:right w:val="single" w:sz="4" w:space="0" w:color="auto"/>
            </w:tcBorders>
            <w:shd w:val="clear" w:color="000000" w:fill="F2F2F2"/>
            <w:vAlign w:val="center"/>
            <w:hideMark/>
          </w:tcPr>
          <w:p w14:paraId="7FFC1C62" w14:textId="77777777" w:rsidR="003534F7" w:rsidRPr="003534F7" w:rsidRDefault="003534F7" w:rsidP="003534F7">
            <w:pPr>
              <w:spacing w:before="0" w:after="0"/>
              <w:ind w:left="0"/>
              <w:jc w:val="center"/>
              <w:rPr>
                <w:color w:val="000000"/>
                <w:sz w:val="20"/>
              </w:rPr>
            </w:pPr>
            <w:r w:rsidRPr="003534F7">
              <w:rPr>
                <w:color w:val="000000"/>
                <w:sz w:val="20"/>
              </w:rPr>
              <w:t>Rentabilité financière</w:t>
            </w:r>
          </w:p>
        </w:tc>
        <w:tc>
          <w:tcPr>
            <w:tcW w:w="1229" w:type="dxa"/>
            <w:tcBorders>
              <w:top w:val="nil"/>
              <w:left w:val="nil"/>
              <w:bottom w:val="single" w:sz="4" w:space="0" w:color="auto"/>
              <w:right w:val="single" w:sz="4" w:space="0" w:color="auto"/>
            </w:tcBorders>
            <w:shd w:val="clear" w:color="000000" w:fill="F2F2F2"/>
            <w:vAlign w:val="center"/>
            <w:hideMark/>
          </w:tcPr>
          <w:p w14:paraId="7FFC1C63" w14:textId="77777777" w:rsidR="003534F7" w:rsidRPr="003534F7" w:rsidRDefault="003534F7" w:rsidP="003534F7">
            <w:pPr>
              <w:spacing w:before="0" w:after="0"/>
              <w:ind w:left="0"/>
              <w:jc w:val="center"/>
              <w:rPr>
                <w:color w:val="000000"/>
                <w:sz w:val="20"/>
              </w:rPr>
            </w:pPr>
            <w:r w:rsidRPr="003534F7">
              <w:rPr>
                <w:color w:val="000000"/>
                <w:sz w:val="20"/>
              </w:rPr>
              <w:t>Taux d’invest. Corp.</w:t>
            </w:r>
          </w:p>
        </w:tc>
        <w:tc>
          <w:tcPr>
            <w:tcW w:w="1228" w:type="dxa"/>
            <w:tcBorders>
              <w:top w:val="nil"/>
              <w:left w:val="nil"/>
              <w:bottom w:val="single" w:sz="4" w:space="0" w:color="auto"/>
              <w:right w:val="single" w:sz="4" w:space="0" w:color="auto"/>
            </w:tcBorders>
            <w:shd w:val="clear" w:color="000000" w:fill="F2F2F2"/>
            <w:vAlign w:val="center"/>
            <w:hideMark/>
          </w:tcPr>
          <w:p w14:paraId="7FFC1C64" w14:textId="77777777" w:rsidR="003534F7" w:rsidRPr="003534F7" w:rsidRDefault="003534F7" w:rsidP="003534F7">
            <w:pPr>
              <w:spacing w:before="0" w:after="0"/>
              <w:ind w:left="0"/>
              <w:jc w:val="center"/>
              <w:rPr>
                <w:color w:val="000000"/>
                <w:sz w:val="20"/>
              </w:rPr>
            </w:pPr>
            <w:r w:rsidRPr="003534F7">
              <w:rPr>
                <w:color w:val="000000"/>
                <w:sz w:val="20"/>
              </w:rPr>
              <w:t>Invest. Corp. par ETP</w:t>
            </w:r>
          </w:p>
        </w:tc>
        <w:tc>
          <w:tcPr>
            <w:tcW w:w="1229" w:type="dxa"/>
            <w:tcBorders>
              <w:top w:val="nil"/>
              <w:left w:val="nil"/>
              <w:bottom w:val="single" w:sz="4" w:space="0" w:color="auto"/>
              <w:right w:val="single" w:sz="8" w:space="0" w:color="auto"/>
            </w:tcBorders>
            <w:shd w:val="clear" w:color="000000" w:fill="F2F2F2"/>
            <w:vAlign w:val="center"/>
            <w:hideMark/>
          </w:tcPr>
          <w:p w14:paraId="7FFC1C65" w14:textId="77777777" w:rsidR="003534F7" w:rsidRPr="003534F7" w:rsidRDefault="003534F7" w:rsidP="003534F7">
            <w:pPr>
              <w:spacing w:before="0" w:after="0"/>
              <w:ind w:left="0"/>
              <w:jc w:val="center"/>
              <w:rPr>
                <w:color w:val="000000"/>
                <w:sz w:val="20"/>
              </w:rPr>
            </w:pPr>
            <w:r w:rsidRPr="003534F7">
              <w:rPr>
                <w:color w:val="000000"/>
                <w:sz w:val="20"/>
              </w:rPr>
              <w:t>Invest. Incorp. par ETP</w:t>
            </w:r>
          </w:p>
        </w:tc>
      </w:tr>
      <w:tr w:rsidR="003534F7" w:rsidRPr="003534F7" w14:paraId="7FFC1C71" w14:textId="77777777" w:rsidTr="003534F7">
        <w:trPr>
          <w:trHeight w:val="255"/>
        </w:trPr>
        <w:tc>
          <w:tcPr>
            <w:tcW w:w="3180" w:type="dxa"/>
            <w:tcBorders>
              <w:top w:val="nil"/>
              <w:left w:val="nil"/>
              <w:bottom w:val="nil"/>
              <w:right w:val="nil"/>
            </w:tcBorders>
            <w:shd w:val="clear" w:color="auto" w:fill="auto"/>
            <w:vAlign w:val="center"/>
            <w:hideMark/>
          </w:tcPr>
          <w:p w14:paraId="7FFC1C67" w14:textId="77777777" w:rsidR="003534F7" w:rsidRPr="003534F7" w:rsidRDefault="003534F7" w:rsidP="003534F7">
            <w:pPr>
              <w:spacing w:before="0" w:after="0"/>
              <w:ind w:left="0"/>
              <w:jc w:val="right"/>
              <w:rPr>
                <w:b/>
                <w:bCs/>
                <w:color w:val="000000"/>
                <w:sz w:val="20"/>
              </w:rPr>
            </w:pPr>
            <w:r w:rsidRPr="003534F7">
              <w:rPr>
                <w:b/>
                <w:bCs/>
                <w:color w:val="000000"/>
                <w:sz w:val="20"/>
              </w:rPr>
              <w:t xml:space="preserve">Unité </w:t>
            </w:r>
          </w:p>
        </w:tc>
        <w:tc>
          <w:tcPr>
            <w:tcW w:w="1228" w:type="dxa"/>
            <w:tcBorders>
              <w:top w:val="nil"/>
              <w:left w:val="single" w:sz="8" w:space="0" w:color="auto"/>
              <w:bottom w:val="single" w:sz="4" w:space="0" w:color="auto"/>
              <w:right w:val="single" w:sz="4" w:space="0" w:color="auto"/>
            </w:tcBorders>
            <w:shd w:val="clear" w:color="000000" w:fill="F2F2F2"/>
            <w:vAlign w:val="center"/>
            <w:hideMark/>
          </w:tcPr>
          <w:p w14:paraId="7FFC1C68"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14:paraId="7FFC1C69"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229" w:type="dxa"/>
            <w:tcBorders>
              <w:top w:val="nil"/>
              <w:left w:val="nil"/>
              <w:bottom w:val="single" w:sz="4" w:space="0" w:color="auto"/>
              <w:right w:val="single" w:sz="4" w:space="0" w:color="auto"/>
            </w:tcBorders>
            <w:shd w:val="clear" w:color="000000" w:fill="F2F2F2"/>
            <w:vAlign w:val="center"/>
            <w:hideMark/>
          </w:tcPr>
          <w:p w14:paraId="7FFC1C6A"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14:paraId="7FFC1C6B"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229" w:type="dxa"/>
            <w:tcBorders>
              <w:top w:val="nil"/>
              <w:left w:val="nil"/>
              <w:bottom w:val="single" w:sz="4" w:space="0" w:color="auto"/>
              <w:right w:val="single" w:sz="4" w:space="0" w:color="auto"/>
            </w:tcBorders>
            <w:shd w:val="clear" w:color="000000" w:fill="F2F2F2"/>
            <w:vAlign w:val="center"/>
            <w:hideMark/>
          </w:tcPr>
          <w:p w14:paraId="7FFC1C6C"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14:paraId="7FFC1C6D"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229" w:type="dxa"/>
            <w:tcBorders>
              <w:top w:val="nil"/>
              <w:left w:val="nil"/>
              <w:bottom w:val="single" w:sz="4" w:space="0" w:color="auto"/>
              <w:right w:val="single" w:sz="4" w:space="0" w:color="auto"/>
            </w:tcBorders>
            <w:shd w:val="clear" w:color="000000" w:fill="F2F2F2"/>
            <w:vAlign w:val="center"/>
            <w:hideMark/>
          </w:tcPr>
          <w:p w14:paraId="7FFC1C6E" w14:textId="77777777"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14:paraId="7FFC1C6F" w14:textId="77777777" w:rsidR="003534F7" w:rsidRPr="00AB4E72" w:rsidRDefault="003534F7" w:rsidP="003534F7">
            <w:pPr>
              <w:spacing w:before="0" w:after="0"/>
              <w:ind w:left="0"/>
              <w:jc w:val="center"/>
              <w:rPr>
                <w:sz w:val="20"/>
              </w:rPr>
            </w:pPr>
            <w:r w:rsidRPr="00AB4E72">
              <w:rPr>
                <w:sz w:val="20"/>
              </w:rPr>
              <w:t xml:space="preserve">(en </w:t>
            </w:r>
            <w:r w:rsidR="00AB4E72" w:rsidRPr="00AB4E72">
              <w:rPr>
                <w:sz w:val="20"/>
              </w:rPr>
              <w:t>K€</w:t>
            </w:r>
            <w:r w:rsidRPr="00AB4E72">
              <w:rPr>
                <w:sz w:val="20"/>
              </w:rPr>
              <w:t>)</w:t>
            </w:r>
          </w:p>
        </w:tc>
        <w:tc>
          <w:tcPr>
            <w:tcW w:w="1229" w:type="dxa"/>
            <w:tcBorders>
              <w:top w:val="nil"/>
              <w:left w:val="nil"/>
              <w:bottom w:val="single" w:sz="4" w:space="0" w:color="auto"/>
              <w:right w:val="single" w:sz="8" w:space="0" w:color="auto"/>
            </w:tcBorders>
            <w:shd w:val="clear" w:color="000000" w:fill="F2F2F2"/>
            <w:vAlign w:val="center"/>
            <w:hideMark/>
          </w:tcPr>
          <w:p w14:paraId="7FFC1C70" w14:textId="77777777" w:rsidR="003534F7" w:rsidRPr="00AB4E72" w:rsidRDefault="003534F7" w:rsidP="003534F7">
            <w:pPr>
              <w:spacing w:before="0" w:after="0"/>
              <w:ind w:left="0"/>
              <w:jc w:val="center"/>
              <w:rPr>
                <w:sz w:val="20"/>
              </w:rPr>
            </w:pPr>
            <w:r w:rsidRPr="00AB4E72">
              <w:rPr>
                <w:sz w:val="20"/>
              </w:rPr>
              <w:t xml:space="preserve">(en </w:t>
            </w:r>
            <w:r w:rsidR="00AB4E72" w:rsidRPr="00AB4E72">
              <w:rPr>
                <w:sz w:val="20"/>
              </w:rPr>
              <w:t>K€</w:t>
            </w:r>
            <w:r w:rsidRPr="00AB4E72">
              <w:rPr>
                <w:sz w:val="20"/>
              </w:rPr>
              <w:t>)</w:t>
            </w:r>
          </w:p>
        </w:tc>
      </w:tr>
      <w:tr w:rsidR="003534F7" w:rsidRPr="003534F7" w14:paraId="7FFC1C7C" w14:textId="77777777" w:rsidTr="003534F7">
        <w:trPr>
          <w:trHeight w:val="825"/>
        </w:trPr>
        <w:tc>
          <w:tcPr>
            <w:tcW w:w="3180" w:type="dxa"/>
            <w:tcBorders>
              <w:top w:val="nil"/>
              <w:left w:val="nil"/>
              <w:bottom w:val="nil"/>
              <w:right w:val="nil"/>
            </w:tcBorders>
            <w:shd w:val="clear" w:color="auto" w:fill="auto"/>
            <w:vAlign w:val="center"/>
            <w:hideMark/>
          </w:tcPr>
          <w:p w14:paraId="7FFC1C72" w14:textId="77777777" w:rsidR="003534F7" w:rsidRPr="003534F7" w:rsidRDefault="003534F7" w:rsidP="003534F7">
            <w:pPr>
              <w:spacing w:before="0" w:after="0"/>
              <w:ind w:left="0"/>
              <w:jc w:val="right"/>
              <w:rPr>
                <w:b/>
                <w:bCs/>
                <w:color w:val="000000"/>
                <w:sz w:val="20"/>
              </w:rPr>
            </w:pPr>
            <w:r w:rsidRPr="003534F7">
              <w:rPr>
                <w:b/>
                <w:bCs/>
                <w:color w:val="000000"/>
                <w:sz w:val="20"/>
              </w:rPr>
              <w:t xml:space="preserve">Formule   </w:t>
            </w:r>
          </w:p>
        </w:tc>
        <w:tc>
          <w:tcPr>
            <w:tcW w:w="1228" w:type="dxa"/>
            <w:tcBorders>
              <w:top w:val="nil"/>
              <w:left w:val="single" w:sz="8" w:space="0" w:color="auto"/>
              <w:bottom w:val="single" w:sz="8" w:space="0" w:color="auto"/>
              <w:right w:val="single" w:sz="4" w:space="0" w:color="auto"/>
            </w:tcBorders>
            <w:shd w:val="clear" w:color="000000" w:fill="F2F2F2"/>
            <w:vAlign w:val="center"/>
            <w:hideMark/>
          </w:tcPr>
          <w:p w14:paraId="7FFC1C73" w14:textId="77777777" w:rsidR="003534F7" w:rsidRPr="003534F7" w:rsidRDefault="003534F7" w:rsidP="003534F7">
            <w:pPr>
              <w:spacing w:before="0" w:after="0"/>
              <w:ind w:left="0"/>
              <w:jc w:val="center"/>
              <w:rPr>
                <w:color w:val="000000"/>
                <w:sz w:val="20"/>
              </w:rPr>
            </w:pPr>
            <w:r w:rsidRPr="003534F7">
              <w:rPr>
                <w:color w:val="000000"/>
                <w:sz w:val="20"/>
              </w:rPr>
              <w:t>EBE / VA</w:t>
            </w:r>
          </w:p>
        </w:tc>
        <w:tc>
          <w:tcPr>
            <w:tcW w:w="1228" w:type="dxa"/>
            <w:tcBorders>
              <w:top w:val="nil"/>
              <w:left w:val="nil"/>
              <w:bottom w:val="single" w:sz="8" w:space="0" w:color="auto"/>
              <w:right w:val="single" w:sz="4" w:space="0" w:color="auto"/>
            </w:tcBorders>
            <w:shd w:val="clear" w:color="000000" w:fill="F2F2F2"/>
            <w:vAlign w:val="center"/>
            <w:hideMark/>
          </w:tcPr>
          <w:p w14:paraId="7FFC1C74" w14:textId="77777777" w:rsidR="003534F7" w:rsidRPr="003534F7" w:rsidRDefault="003534F7" w:rsidP="003534F7">
            <w:pPr>
              <w:spacing w:before="0" w:after="0"/>
              <w:ind w:left="0"/>
              <w:jc w:val="center"/>
              <w:rPr>
                <w:color w:val="000000"/>
                <w:sz w:val="20"/>
              </w:rPr>
            </w:pPr>
            <w:r w:rsidRPr="003534F7">
              <w:rPr>
                <w:color w:val="000000"/>
                <w:sz w:val="20"/>
              </w:rPr>
              <w:t xml:space="preserve">Rés. net  / CA </w:t>
            </w:r>
          </w:p>
        </w:tc>
        <w:tc>
          <w:tcPr>
            <w:tcW w:w="1229" w:type="dxa"/>
            <w:tcBorders>
              <w:top w:val="nil"/>
              <w:left w:val="nil"/>
              <w:bottom w:val="single" w:sz="8" w:space="0" w:color="auto"/>
              <w:right w:val="single" w:sz="4" w:space="0" w:color="auto"/>
            </w:tcBorders>
            <w:shd w:val="clear" w:color="000000" w:fill="F2F2F2"/>
            <w:vAlign w:val="center"/>
            <w:hideMark/>
          </w:tcPr>
          <w:p w14:paraId="7FFC1C75" w14:textId="77777777" w:rsidR="003534F7" w:rsidRPr="003534F7" w:rsidRDefault="003534F7" w:rsidP="003534F7">
            <w:pPr>
              <w:spacing w:before="0" w:after="0"/>
              <w:ind w:left="0"/>
              <w:jc w:val="center"/>
              <w:rPr>
                <w:color w:val="000000"/>
                <w:sz w:val="20"/>
              </w:rPr>
            </w:pPr>
            <w:r w:rsidRPr="003534F7">
              <w:rPr>
                <w:color w:val="000000"/>
                <w:sz w:val="20"/>
              </w:rPr>
              <w:t> </w:t>
            </w:r>
          </w:p>
        </w:tc>
        <w:tc>
          <w:tcPr>
            <w:tcW w:w="1228" w:type="dxa"/>
            <w:tcBorders>
              <w:top w:val="nil"/>
              <w:left w:val="nil"/>
              <w:bottom w:val="single" w:sz="8" w:space="0" w:color="auto"/>
              <w:right w:val="single" w:sz="4" w:space="0" w:color="auto"/>
            </w:tcBorders>
            <w:shd w:val="clear" w:color="000000" w:fill="F2F2F2"/>
            <w:vAlign w:val="center"/>
            <w:hideMark/>
          </w:tcPr>
          <w:p w14:paraId="7FFC1C76" w14:textId="77777777" w:rsidR="003534F7" w:rsidRPr="003534F7" w:rsidRDefault="003534F7" w:rsidP="003534F7">
            <w:pPr>
              <w:spacing w:before="0" w:after="0"/>
              <w:ind w:left="0"/>
              <w:jc w:val="center"/>
              <w:rPr>
                <w:color w:val="000000"/>
                <w:sz w:val="20"/>
              </w:rPr>
            </w:pPr>
            <w:r w:rsidRPr="003534F7">
              <w:rPr>
                <w:color w:val="000000"/>
                <w:sz w:val="20"/>
              </w:rPr>
              <w:t> </w:t>
            </w:r>
          </w:p>
        </w:tc>
        <w:tc>
          <w:tcPr>
            <w:tcW w:w="1229" w:type="dxa"/>
            <w:tcBorders>
              <w:top w:val="nil"/>
              <w:left w:val="nil"/>
              <w:bottom w:val="single" w:sz="8" w:space="0" w:color="auto"/>
              <w:right w:val="single" w:sz="4" w:space="0" w:color="auto"/>
            </w:tcBorders>
            <w:shd w:val="clear" w:color="000000" w:fill="F2F2F2"/>
            <w:vAlign w:val="center"/>
            <w:hideMark/>
          </w:tcPr>
          <w:p w14:paraId="7FFC1C77" w14:textId="77777777" w:rsidR="003534F7" w:rsidRPr="003534F7" w:rsidRDefault="003534F7" w:rsidP="003534F7">
            <w:pPr>
              <w:spacing w:before="0" w:after="0"/>
              <w:ind w:left="0"/>
              <w:jc w:val="center"/>
              <w:rPr>
                <w:color w:val="000000"/>
                <w:sz w:val="20"/>
              </w:rPr>
            </w:pPr>
            <w:r w:rsidRPr="003534F7">
              <w:rPr>
                <w:color w:val="000000"/>
                <w:sz w:val="20"/>
              </w:rPr>
              <w:t>Rex / Actif éco.</w:t>
            </w:r>
          </w:p>
        </w:tc>
        <w:tc>
          <w:tcPr>
            <w:tcW w:w="1228" w:type="dxa"/>
            <w:tcBorders>
              <w:top w:val="nil"/>
              <w:left w:val="nil"/>
              <w:bottom w:val="single" w:sz="8" w:space="0" w:color="auto"/>
              <w:right w:val="single" w:sz="4" w:space="0" w:color="auto"/>
            </w:tcBorders>
            <w:shd w:val="clear" w:color="000000" w:fill="F2F2F2"/>
            <w:vAlign w:val="center"/>
            <w:hideMark/>
          </w:tcPr>
          <w:p w14:paraId="7FFC1C78" w14:textId="77777777" w:rsidR="003534F7" w:rsidRPr="003534F7" w:rsidRDefault="003534F7" w:rsidP="003534F7">
            <w:pPr>
              <w:spacing w:before="0" w:after="0"/>
              <w:ind w:left="0"/>
              <w:jc w:val="center"/>
              <w:rPr>
                <w:color w:val="000000"/>
                <w:sz w:val="20"/>
              </w:rPr>
            </w:pPr>
            <w:r w:rsidRPr="003534F7">
              <w:rPr>
                <w:color w:val="000000"/>
                <w:sz w:val="20"/>
              </w:rPr>
              <w:t>RN / Capitaux prop.</w:t>
            </w:r>
          </w:p>
        </w:tc>
        <w:tc>
          <w:tcPr>
            <w:tcW w:w="1229" w:type="dxa"/>
            <w:tcBorders>
              <w:top w:val="nil"/>
              <w:left w:val="nil"/>
              <w:bottom w:val="single" w:sz="8" w:space="0" w:color="auto"/>
              <w:right w:val="single" w:sz="4" w:space="0" w:color="auto"/>
            </w:tcBorders>
            <w:shd w:val="clear" w:color="000000" w:fill="F2F2F2"/>
            <w:vAlign w:val="center"/>
            <w:hideMark/>
          </w:tcPr>
          <w:p w14:paraId="7FFC1C79" w14:textId="77777777" w:rsidR="003534F7" w:rsidRPr="003534F7" w:rsidRDefault="003534F7" w:rsidP="003534F7">
            <w:pPr>
              <w:spacing w:before="0" w:after="0"/>
              <w:ind w:left="0"/>
              <w:jc w:val="center"/>
              <w:rPr>
                <w:color w:val="000000"/>
                <w:sz w:val="20"/>
              </w:rPr>
            </w:pPr>
            <w:r w:rsidRPr="003534F7">
              <w:rPr>
                <w:color w:val="000000"/>
                <w:sz w:val="20"/>
              </w:rPr>
              <w:t xml:space="preserve">Inv. Corp. / VA </w:t>
            </w:r>
          </w:p>
        </w:tc>
        <w:tc>
          <w:tcPr>
            <w:tcW w:w="1228" w:type="dxa"/>
            <w:tcBorders>
              <w:top w:val="nil"/>
              <w:left w:val="nil"/>
              <w:bottom w:val="single" w:sz="8" w:space="0" w:color="auto"/>
              <w:right w:val="single" w:sz="4" w:space="0" w:color="auto"/>
            </w:tcBorders>
            <w:shd w:val="clear" w:color="000000" w:fill="F2F2F2"/>
            <w:vAlign w:val="center"/>
            <w:hideMark/>
          </w:tcPr>
          <w:p w14:paraId="7FFC1C7A" w14:textId="77777777" w:rsidR="003534F7" w:rsidRPr="003534F7" w:rsidRDefault="003534F7" w:rsidP="003534F7">
            <w:pPr>
              <w:spacing w:before="0" w:after="0"/>
              <w:ind w:left="0"/>
              <w:jc w:val="center"/>
              <w:rPr>
                <w:color w:val="000000"/>
                <w:sz w:val="20"/>
              </w:rPr>
            </w:pPr>
            <w:r w:rsidRPr="003534F7">
              <w:rPr>
                <w:color w:val="000000"/>
                <w:sz w:val="20"/>
              </w:rPr>
              <w:t>Inv. corp. / ETP</w:t>
            </w:r>
          </w:p>
        </w:tc>
        <w:tc>
          <w:tcPr>
            <w:tcW w:w="1229" w:type="dxa"/>
            <w:tcBorders>
              <w:top w:val="nil"/>
              <w:left w:val="nil"/>
              <w:bottom w:val="single" w:sz="8" w:space="0" w:color="auto"/>
              <w:right w:val="single" w:sz="8" w:space="0" w:color="auto"/>
            </w:tcBorders>
            <w:shd w:val="clear" w:color="000000" w:fill="F2F2F2"/>
            <w:vAlign w:val="center"/>
            <w:hideMark/>
          </w:tcPr>
          <w:p w14:paraId="7FFC1C7B" w14:textId="77777777" w:rsidR="003534F7" w:rsidRPr="003534F7" w:rsidRDefault="003534F7" w:rsidP="003534F7">
            <w:pPr>
              <w:spacing w:before="0" w:after="0"/>
              <w:ind w:left="0"/>
              <w:jc w:val="center"/>
              <w:rPr>
                <w:color w:val="000000"/>
                <w:sz w:val="20"/>
              </w:rPr>
            </w:pPr>
            <w:r w:rsidRPr="003534F7">
              <w:rPr>
                <w:color w:val="000000"/>
                <w:sz w:val="20"/>
              </w:rPr>
              <w:t> </w:t>
            </w:r>
          </w:p>
        </w:tc>
      </w:tr>
      <w:tr w:rsidR="003534F7" w:rsidRPr="003534F7" w14:paraId="7FFC1C87" w14:textId="77777777" w:rsidTr="003534F7">
        <w:trPr>
          <w:trHeight w:val="900"/>
        </w:trPr>
        <w:tc>
          <w:tcPr>
            <w:tcW w:w="3180" w:type="dxa"/>
            <w:tcBorders>
              <w:top w:val="single" w:sz="8" w:space="0" w:color="auto"/>
              <w:left w:val="single" w:sz="8" w:space="0" w:color="auto"/>
              <w:bottom w:val="single" w:sz="4" w:space="0" w:color="auto"/>
              <w:right w:val="single" w:sz="8" w:space="0" w:color="auto"/>
            </w:tcBorders>
            <w:shd w:val="clear" w:color="000000" w:fill="F2F2F2"/>
            <w:vAlign w:val="center"/>
            <w:hideMark/>
          </w:tcPr>
          <w:p w14:paraId="7FFC1C7D"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Section J : </w:t>
            </w:r>
            <w:r w:rsidRPr="003534F7">
              <w:rPr>
                <w:rFonts w:ascii="Times New Roman" w:hAnsi="Times New Roman" w:cs="Times New Roman"/>
                <w:color w:val="000000"/>
                <w:sz w:val="24"/>
                <w:szCs w:val="24"/>
              </w:rPr>
              <w:br/>
              <w:t>Information et communication</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14:paraId="7FFC1C7E" w14:textId="77777777" w:rsidR="003534F7" w:rsidRPr="003534F7" w:rsidRDefault="003534F7" w:rsidP="003534F7">
            <w:pPr>
              <w:spacing w:before="0" w:after="0"/>
              <w:ind w:left="0"/>
              <w:jc w:val="center"/>
              <w:rPr>
                <w:color w:val="000000"/>
                <w:sz w:val="20"/>
              </w:rPr>
            </w:pPr>
            <w:r w:rsidRPr="003534F7">
              <w:rPr>
                <w:color w:val="000000"/>
                <w:sz w:val="20"/>
              </w:rPr>
              <w:t>32%</w:t>
            </w:r>
          </w:p>
        </w:tc>
        <w:tc>
          <w:tcPr>
            <w:tcW w:w="1228" w:type="dxa"/>
            <w:tcBorders>
              <w:top w:val="nil"/>
              <w:left w:val="nil"/>
              <w:bottom w:val="single" w:sz="4" w:space="0" w:color="auto"/>
              <w:right w:val="single" w:sz="4" w:space="0" w:color="auto"/>
            </w:tcBorders>
            <w:shd w:val="clear" w:color="auto" w:fill="auto"/>
            <w:vAlign w:val="center"/>
            <w:hideMark/>
          </w:tcPr>
          <w:p w14:paraId="7FFC1C7F" w14:textId="77777777" w:rsidR="003534F7" w:rsidRPr="003534F7" w:rsidRDefault="003534F7" w:rsidP="003534F7">
            <w:pPr>
              <w:spacing w:before="0" w:after="0"/>
              <w:ind w:left="0"/>
              <w:jc w:val="center"/>
              <w:rPr>
                <w:color w:val="000000"/>
                <w:sz w:val="20"/>
              </w:rPr>
            </w:pPr>
            <w:r w:rsidRPr="003534F7">
              <w:rPr>
                <w:color w:val="000000"/>
                <w:sz w:val="20"/>
              </w:rPr>
              <w:t>3%</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7FFC1C80" w14:textId="77777777" w:rsidR="003534F7" w:rsidRPr="003534F7" w:rsidRDefault="003534F7" w:rsidP="003534F7">
            <w:pPr>
              <w:spacing w:before="0" w:after="0"/>
              <w:ind w:left="0"/>
              <w:jc w:val="center"/>
              <w:rPr>
                <w:sz w:val="20"/>
              </w:rPr>
            </w:pPr>
            <w:r w:rsidRPr="003534F7">
              <w:rPr>
                <w:sz w:val="20"/>
              </w:rPr>
              <w:t>33</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7FFC1C81" w14:textId="77777777" w:rsidR="003534F7" w:rsidRPr="003534F7" w:rsidRDefault="003534F7" w:rsidP="003534F7">
            <w:pPr>
              <w:spacing w:before="0" w:after="0"/>
              <w:ind w:left="0"/>
              <w:jc w:val="center"/>
              <w:rPr>
                <w:sz w:val="20"/>
              </w:rPr>
            </w:pPr>
            <w:r w:rsidRPr="003534F7">
              <w:rPr>
                <w:sz w:val="20"/>
              </w:rPr>
              <w:t>67</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7FFC1C82" w14:textId="77777777" w:rsidR="003534F7" w:rsidRPr="003534F7" w:rsidRDefault="003534F7" w:rsidP="003534F7">
            <w:pPr>
              <w:spacing w:before="0" w:after="0"/>
              <w:ind w:left="0"/>
              <w:jc w:val="center"/>
              <w:rPr>
                <w:sz w:val="20"/>
              </w:rPr>
            </w:pPr>
            <w:r w:rsidRPr="003534F7">
              <w:rPr>
                <w:sz w:val="20"/>
              </w:rPr>
              <w:t>11</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7FFC1C83" w14:textId="77777777" w:rsidR="003534F7" w:rsidRPr="003534F7" w:rsidRDefault="003534F7" w:rsidP="003534F7">
            <w:pPr>
              <w:spacing w:before="0" w:after="0"/>
              <w:ind w:left="0"/>
              <w:jc w:val="center"/>
              <w:rPr>
                <w:sz w:val="20"/>
              </w:rPr>
            </w:pPr>
            <w:r w:rsidRPr="003534F7">
              <w:rPr>
                <w:sz w:val="20"/>
              </w:rPr>
              <w:t>5</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7FFC1C84" w14:textId="77777777" w:rsidR="003534F7" w:rsidRPr="003534F7" w:rsidRDefault="003534F7" w:rsidP="003534F7">
            <w:pPr>
              <w:spacing w:before="0" w:after="0"/>
              <w:ind w:left="0"/>
              <w:jc w:val="center"/>
              <w:rPr>
                <w:sz w:val="20"/>
              </w:rPr>
            </w:pPr>
            <w:r w:rsidRPr="003534F7">
              <w:rPr>
                <w:sz w:val="20"/>
              </w:rPr>
              <w:t>13,0</w:t>
            </w:r>
          </w:p>
        </w:tc>
        <w:tc>
          <w:tcPr>
            <w:tcW w:w="1228" w:type="dxa"/>
            <w:tcBorders>
              <w:top w:val="nil"/>
              <w:left w:val="nil"/>
              <w:bottom w:val="single" w:sz="4" w:space="0" w:color="auto"/>
              <w:right w:val="single" w:sz="4" w:space="0" w:color="auto"/>
            </w:tcBorders>
            <w:shd w:val="clear" w:color="auto" w:fill="auto"/>
            <w:vAlign w:val="center"/>
            <w:hideMark/>
          </w:tcPr>
          <w:p w14:paraId="7FFC1C85" w14:textId="77777777" w:rsidR="003534F7" w:rsidRPr="003534F7" w:rsidRDefault="003534F7" w:rsidP="003534F7">
            <w:pPr>
              <w:spacing w:before="0" w:after="0"/>
              <w:ind w:left="0"/>
              <w:jc w:val="center"/>
              <w:rPr>
                <w:color w:val="000000"/>
                <w:sz w:val="20"/>
              </w:rPr>
            </w:pPr>
            <w:r w:rsidRPr="003534F7">
              <w:rPr>
                <w:color w:val="000000"/>
                <w:sz w:val="20"/>
              </w:rPr>
              <w:t>31</w:t>
            </w:r>
          </w:p>
        </w:tc>
        <w:tc>
          <w:tcPr>
            <w:tcW w:w="1229" w:type="dxa"/>
            <w:tcBorders>
              <w:top w:val="single" w:sz="4" w:space="0" w:color="auto"/>
              <w:left w:val="nil"/>
              <w:bottom w:val="single" w:sz="4" w:space="0" w:color="auto"/>
              <w:right w:val="single" w:sz="8" w:space="0" w:color="auto"/>
            </w:tcBorders>
            <w:shd w:val="clear" w:color="auto" w:fill="auto"/>
            <w:noWrap/>
            <w:vAlign w:val="center"/>
            <w:hideMark/>
          </w:tcPr>
          <w:p w14:paraId="7FFC1C86" w14:textId="77777777" w:rsidR="003534F7" w:rsidRPr="003534F7" w:rsidRDefault="003534F7" w:rsidP="003534F7">
            <w:pPr>
              <w:spacing w:before="0" w:after="0"/>
              <w:ind w:left="0"/>
              <w:jc w:val="center"/>
              <w:rPr>
                <w:sz w:val="20"/>
              </w:rPr>
            </w:pPr>
            <w:r w:rsidRPr="003534F7">
              <w:rPr>
                <w:sz w:val="20"/>
              </w:rPr>
              <w:t>54</w:t>
            </w:r>
          </w:p>
        </w:tc>
      </w:tr>
      <w:tr w:rsidR="003534F7" w:rsidRPr="003534F7" w14:paraId="7FFC1C92" w14:textId="77777777" w:rsidTr="003534F7">
        <w:trPr>
          <w:trHeight w:val="900"/>
        </w:trPr>
        <w:tc>
          <w:tcPr>
            <w:tcW w:w="3180" w:type="dxa"/>
            <w:tcBorders>
              <w:top w:val="nil"/>
              <w:left w:val="single" w:sz="8" w:space="0" w:color="auto"/>
              <w:bottom w:val="single" w:sz="4" w:space="0" w:color="auto"/>
              <w:right w:val="single" w:sz="8" w:space="0" w:color="auto"/>
            </w:tcBorders>
            <w:shd w:val="clear" w:color="000000" w:fill="F2F2F2"/>
            <w:vAlign w:val="center"/>
            <w:hideMark/>
          </w:tcPr>
          <w:p w14:paraId="7FFC1C88"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Division 62 : </w:t>
            </w:r>
            <w:r w:rsidRPr="003534F7">
              <w:rPr>
                <w:rFonts w:ascii="Times New Roman" w:hAnsi="Times New Roman" w:cs="Times New Roman"/>
                <w:color w:val="000000"/>
                <w:sz w:val="24"/>
                <w:szCs w:val="24"/>
              </w:rPr>
              <w:br/>
              <w:t>Programmation, conseil et autres activités informatiques</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14:paraId="7FFC1C89" w14:textId="77777777" w:rsidR="003534F7" w:rsidRPr="003534F7" w:rsidRDefault="003534F7" w:rsidP="003534F7">
            <w:pPr>
              <w:spacing w:before="0" w:after="0"/>
              <w:ind w:left="0"/>
              <w:jc w:val="center"/>
              <w:rPr>
                <w:color w:val="000000"/>
                <w:sz w:val="20"/>
              </w:rPr>
            </w:pPr>
            <w:r w:rsidRPr="003534F7">
              <w:rPr>
                <w:color w:val="000000"/>
                <w:sz w:val="20"/>
              </w:rPr>
              <w:t>14%</w:t>
            </w:r>
          </w:p>
        </w:tc>
        <w:tc>
          <w:tcPr>
            <w:tcW w:w="1228" w:type="dxa"/>
            <w:tcBorders>
              <w:top w:val="nil"/>
              <w:left w:val="nil"/>
              <w:bottom w:val="single" w:sz="4" w:space="0" w:color="auto"/>
              <w:right w:val="single" w:sz="4" w:space="0" w:color="auto"/>
            </w:tcBorders>
            <w:shd w:val="clear" w:color="auto" w:fill="auto"/>
            <w:vAlign w:val="center"/>
            <w:hideMark/>
          </w:tcPr>
          <w:p w14:paraId="7FFC1C8A" w14:textId="77777777" w:rsidR="003534F7" w:rsidRPr="003534F7" w:rsidRDefault="003534F7" w:rsidP="003534F7">
            <w:pPr>
              <w:spacing w:before="0" w:after="0"/>
              <w:ind w:left="0"/>
              <w:jc w:val="center"/>
              <w:rPr>
                <w:color w:val="000000"/>
                <w:sz w:val="20"/>
              </w:rPr>
            </w:pPr>
            <w:r w:rsidRPr="003534F7">
              <w:rPr>
                <w:color w:val="000000"/>
                <w:sz w:val="20"/>
              </w:rPr>
              <w:t>3%</w:t>
            </w:r>
          </w:p>
        </w:tc>
        <w:tc>
          <w:tcPr>
            <w:tcW w:w="1229" w:type="dxa"/>
            <w:tcBorders>
              <w:top w:val="nil"/>
              <w:left w:val="nil"/>
              <w:bottom w:val="single" w:sz="4" w:space="0" w:color="auto"/>
              <w:right w:val="single" w:sz="4" w:space="0" w:color="auto"/>
            </w:tcBorders>
            <w:shd w:val="clear" w:color="auto" w:fill="auto"/>
            <w:noWrap/>
            <w:vAlign w:val="center"/>
            <w:hideMark/>
          </w:tcPr>
          <w:p w14:paraId="7FFC1C8B" w14:textId="77777777" w:rsidR="003534F7" w:rsidRPr="003534F7" w:rsidRDefault="003534F7" w:rsidP="003534F7">
            <w:pPr>
              <w:spacing w:before="0" w:after="0"/>
              <w:ind w:left="0"/>
              <w:jc w:val="center"/>
              <w:rPr>
                <w:sz w:val="20"/>
              </w:rPr>
            </w:pPr>
            <w:r w:rsidRPr="003534F7">
              <w:rPr>
                <w:sz w:val="20"/>
              </w:rPr>
              <w:t>14</w:t>
            </w:r>
          </w:p>
        </w:tc>
        <w:tc>
          <w:tcPr>
            <w:tcW w:w="1228" w:type="dxa"/>
            <w:tcBorders>
              <w:top w:val="nil"/>
              <w:left w:val="nil"/>
              <w:bottom w:val="single" w:sz="4" w:space="0" w:color="auto"/>
              <w:right w:val="single" w:sz="4" w:space="0" w:color="auto"/>
            </w:tcBorders>
            <w:shd w:val="clear" w:color="auto" w:fill="auto"/>
            <w:noWrap/>
            <w:vAlign w:val="center"/>
            <w:hideMark/>
          </w:tcPr>
          <w:p w14:paraId="7FFC1C8C" w14:textId="77777777" w:rsidR="003534F7" w:rsidRPr="003534F7" w:rsidRDefault="003534F7" w:rsidP="003534F7">
            <w:pPr>
              <w:spacing w:before="0" w:after="0"/>
              <w:ind w:left="0"/>
              <w:jc w:val="center"/>
              <w:rPr>
                <w:sz w:val="20"/>
              </w:rPr>
            </w:pPr>
            <w:r w:rsidRPr="003534F7">
              <w:rPr>
                <w:sz w:val="20"/>
              </w:rPr>
              <w:t>86</w:t>
            </w:r>
          </w:p>
        </w:tc>
        <w:tc>
          <w:tcPr>
            <w:tcW w:w="1229" w:type="dxa"/>
            <w:tcBorders>
              <w:top w:val="nil"/>
              <w:left w:val="nil"/>
              <w:bottom w:val="single" w:sz="4" w:space="0" w:color="auto"/>
              <w:right w:val="single" w:sz="4" w:space="0" w:color="auto"/>
            </w:tcBorders>
            <w:shd w:val="clear" w:color="auto" w:fill="auto"/>
            <w:noWrap/>
            <w:vAlign w:val="center"/>
            <w:hideMark/>
          </w:tcPr>
          <w:p w14:paraId="7FFC1C8D" w14:textId="77777777" w:rsidR="003534F7" w:rsidRPr="003534F7" w:rsidRDefault="003534F7" w:rsidP="003534F7">
            <w:pPr>
              <w:spacing w:before="0" w:after="0"/>
              <w:ind w:left="0"/>
              <w:jc w:val="center"/>
              <w:rPr>
                <w:sz w:val="20"/>
              </w:rPr>
            </w:pPr>
            <w:r w:rsidRPr="003534F7">
              <w:rPr>
                <w:sz w:val="20"/>
              </w:rPr>
              <w:t>15</w:t>
            </w:r>
          </w:p>
        </w:tc>
        <w:tc>
          <w:tcPr>
            <w:tcW w:w="1228" w:type="dxa"/>
            <w:tcBorders>
              <w:top w:val="nil"/>
              <w:left w:val="nil"/>
              <w:bottom w:val="single" w:sz="4" w:space="0" w:color="auto"/>
              <w:right w:val="single" w:sz="4" w:space="0" w:color="auto"/>
            </w:tcBorders>
            <w:shd w:val="clear" w:color="auto" w:fill="auto"/>
            <w:noWrap/>
            <w:vAlign w:val="center"/>
            <w:hideMark/>
          </w:tcPr>
          <w:p w14:paraId="7FFC1C8E" w14:textId="77777777" w:rsidR="003534F7" w:rsidRPr="003534F7" w:rsidRDefault="003534F7" w:rsidP="003534F7">
            <w:pPr>
              <w:spacing w:before="0" w:after="0"/>
              <w:ind w:left="0"/>
              <w:jc w:val="center"/>
              <w:rPr>
                <w:sz w:val="20"/>
              </w:rPr>
            </w:pPr>
            <w:r w:rsidRPr="003534F7">
              <w:rPr>
                <w:sz w:val="20"/>
              </w:rPr>
              <w:t>9</w:t>
            </w:r>
          </w:p>
        </w:tc>
        <w:tc>
          <w:tcPr>
            <w:tcW w:w="1229" w:type="dxa"/>
            <w:tcBorders>
              <w:top w:val="nil"/>
              <w:left w:val="nil"/>
              <w:bottom w:val="single" w:sz="4" w:space="0" w:color="auto"/>
              <w:right w:val="single" w:sz="4" w:space="0" w:color="auto"/>
            </w:tcBorders>
            <w:shd w:val="clear" w:color="auto" w:fill="auto"/>
            <w:noWrap/>
            <w:vAlign w:val="center"/>
            <w:hideMark/>
          </w:tcPr>
          <w:p w14:paraId="7FFC1C8F" w14:textId="77777777" w:rsidR="003534F7" w:rsidRPr="003534F7" w:rsidRDefault="003534F7" w:rsidP="003534F7">
            <w:pPr>
              <w:spacing w:before="0" w:after="0"/>
              <w:ind w:left="0"/>
              <w:jc w:val="center"/>
              <w:rPr>
                <w:sz w:val="20"/>
              </w:rPr>
            </w:pPr>
            <w:r w:rsidRPr="003534F7">
              <w:rPr>
                <w:sz w:val="20"/>
              </w:rPr>
              <w:t>4,0</w:t>
            </w:r>
          </w:p>
        </w:tc>
        <w:tc>
          <w:tcPr>
            <w:tcW w:w="1228" w:type="dxa"/>
            <w:tcBorders>
              <w:top w:val="nil"/>
              <w:left w:val="nil"/>
              <w:bottom w:val="single" w:sz="4" w:space="0" w:color="auto"/>
              <w:right w:val="single" w:sz="4" w:space="0" w:color="auto"/>
            </w:tcBorders>
            <w:shd w:val="clear" w:color="auto" w:fill="auto"/>
            <w:vAlign w:val="center"/>
            <w:hideMark/>
          </w:tcPr>
          <w:p w14:paraId="7FFC1C90" w14:textId="77777777" w:rsidR="003534F7" w:rsidRPr="003534F7" w:rsidRDefault="003534F7" w:rsidP="003534F7">
            <w:pPr>
              <w:spacing w:before="0" w:after="0"/>
              <w:ind w:left="0"/>
              <w:jc w:val="center"/>
              <w:rPr>
                <w:color w:val="000000"/>
                <w:sz w:val="20"/>
              </w:rPr>
            </w:pPr>
            <w:r w:rsidRPr="003534F7">
              <w:rPr>
                <w:color w:val="000000"/>
                <w:sz w:val="20"/>
              </w:rPr>
              <w:t>8</w:t>
            </w:r>
          </w:p>
        </w:tc>
        <w:tc>
          <w:tcPr>
            <w:tcW w:w="1229" w:type="dxa"/>
            <w:tcBorders>
              <w:top w:val="nil"/>
              <w:left w:val="nil"/>
              <w:bottom w:val="single" w:sz="4" w:space="0" w:color="auto"/>
              <w:right w:val="single" w:sz="8" w:space="0" w:color="auto"/>
            </w:tcBorders>
            <w:shd w:val="clear" w:color="auto" w:fill="auto"/>
            <w:noWrap/>
            <w:vAlign w:val="center"/>
            <w:hideMark/>
          </w:tcPr>
          <w:p w14:paraId="7FFC1C91" w14:textId="77777777" w:rsidR="003534F7" w:rsidRPr="003534F7" w:rsidRDefault="003534F7" w:rsidP="003534F7">
            <w:pPr>
              <w:spacing w:before="0" w:after="0"/>
              <w:ind w:left="0"/>
              <w:jc w:val="center"/>
              <w:rPr>
                <w:sz w:val="20"/>
              </w:rPr>
            </w:pPr>
            <w:r w:rsidRPr="003534F7">
              <w:rPr>
                <w:sz w:val="20"/>
              </w:rPr>
              <w:t>5</w:t>
            </w:r>
          </w:p>
        </w:tc>
      </w:tr>
      <w:tr w:rsidR="003534F7" w:rsidRPr="003534F7" w14:paraId="7FFC1C9D" w14:textId="77777777" w:rsidTr="003534F7">
        <w:trPr>
          <w:trHeight w:val="900"/>
        </w:trPr>
        <w:tc>
          <w:tcPr>
            <w:tcW w:w="3180" w:type="dxa"/>
            <w:tcBorders>
              <w:top w:val="nil"/>
              <w:left w:val="single" w:sz="8" w:space="0" w:color="auto"/>
              <w:bottom w:val="single" w:sz="4" w:space="0" w:color="auto"/>
              <w:right w:val="single" w:sz="8" w:space="0" w:color="auto"/>
            </w:tcBorders>
            <w:shd w:val="clear" w:color="000000" w:fill="F2F2F2"/>
            <w:vAlign w:val="center"/>
            <w:hideMark/>
          </w:tcPr>
          <w:p w14:paraId="7FFC1C93"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Groupe 620 : </w:t>
            </w:r>
            <w:r w:rsidRPr="003534F7">
              <w:rPr>
                <w:rFonts w:ascii="Times New Roman" w:hAnsi="Times New Roman" w:cs="Times New Roman"/>
                <w:color w:val="000000"/>
                <w:sz w:val="24"/>
                <w:szCs w:val="24"/>
              </w:rPr>
              <w:br/>
              <w:t>Programmation, conseil et autres activités informatiques</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14:paraId="7FFC1C94" w14:textId="77777777" w:rsidR="003534F7" w:rsidRPr="003534F7" w:rsidRDefault="003534F7" w:rsidP="003534F7">
            <w:pPr>
              <w:spacing w:before="0" w:after="0"/>
              <w:ind w:left="0"/>
              <w:jc w:val="center"/>
              <w:rPr>
                <w:color w:val="000000"/>
                <w:sz w:val="20"/>
              </w:rPr>
            </w:pPr>
            <w:r w:rsidRPr="003534F7">
              <w:rPr>
                <w:color w:val="000000"/>
                <w:sz w:val="20"/>
              </w:rPr>
              <w:t>14%</w:t>
            </w:r>
          </w:p>
        </w:tc>
        <w:tc>
          <w:tcPr>
            <w:tcW w:w="1228" w:type="dxa"/>
            <w:tcBorders>
              <w:top w:val="nil"/>
              <w:left w:val="nil"/>
              <w:bottom w:val="single" w:sz="4" w:space="0" w:color="auto"/>
              <w:right w:val="single" w:sz="4" w:space="0" w:color="auto"/>
            </w:tcBorders>
            <w:shd w:val="clear" w:color="auto" w:fill="auto"/>
            <w:vAlign w:val="center"/>
            <w:hideMark/>
          </w:tcPr>
          <w:p w14:paraId="7FFC1C95" w14:textId="77777777" w:rsidR="003534F7" w:rsidRPr="003534F7" w:rsidRDefault="003534F7" w:rsidP="003534F7">
            <w:pPr>
              <w:spacing w:before="0" w:after="0"/>
              <w:ind w:left="0"/>
              <w:jc w:val="center"/>
              <w:rPr>
                <w:color w:val="000000"/>
                <w:sz w:val="20"/>
              </w:rPr>
            </w:pPr>
            <w:r w:rsidRPr="003534F7">
              <w:rPr>
                <w:color w:val="000000"/>
                <w:sz w:val="20"/>
              </w:rPr>
              <w:t>3%</w:t>
            </w:r>
          </w:p>
        </w:tc>
        <w:tc>
          <w:tcPr>
            <w:tcW w:w="1229" w:type="dxa"/>
            <w:tcBorders>
              <w:top w:val="nil"/>
              <w:left w:val="nil"/>
              <w:bottom w:val="single" w:sz="4" w:space="0" w:color="auto"/>
              <w:right w:val="single" w:sz="4" w:space="0" w:color="auto"/>
            </w:tcBorders>
            <w:shd w:val="clear" w:color="auto" w:fill="auto"/>
            <w:noWrap/>
            <w:vAlign w:val="center"/>
            <w:hideMark/>
          </w:tcPr>
          <w:p w14:paraId="7FFC1C96" w14:textId="77777777" w:rsidR="003534F7" w:rsidRPr="003534F7" w:rsidRDefault="003534F7" w:rsidP="003534F7">
            <w:pPr>
              <w:spacing w:before="0" w:after="0"/>
              <w:ind w:left="0"/>
              <w:jc w:val="center"/>
              <w:rPr>
                <w:sz w:val="20"/>
              </w:rPr>
            </w:pPr>
            <w:r w:rsidRPr="003534F7">
              <w:rPr>
                <w:sz w:val="20"/>
              </w:rPr>
              <w:t>14</w:t>
            </w:r>
          </w:p>
        </w:tc>
        <w:tc>
          <w:tcPr>
            <w:tcW w:w="1228" w:type="dxa"/>
            <w:tcBorders>
              <w:top w:val="nil"/>
              <w:left w:val="nil"/>
              <w:bottom w:val="single" w:sz="4" w:space="0" w:color="auto"/>
              <w:right w:val="single" w:sz="4" w:space="0" w:color="auto"/>
            </w:tcBorders>
            <w:shd w:val="clear" w:color="auto" w:fill="auto"/>
            <w:noWrap/>
            <w:vAlign w:val="center"/>
            <w:hideMark/>
          </w:tcPr>
          <w:p w14:paraId="7FFC1C97" w14:textId="77777777" w:rsidR="003534F7" w:rsidRPr="003534F7" w:rsidRDefault="003534F7" w:rsidP="003534F7">
            <w:pPr>
              <w:spacing w:before="0" w:after="0"/>
              <w:ind w:left="0"/>
              <w:jc w:val="center"/>
              <w:rPr>
                <w:sz w:val="20"/>
              </w:rPr>
            </w:pPr>
            <w:r w:rsidRPr="003534F7">
              <w:rPr>
                <w:sz w:val="20"/>
              </w:rPr>
              <w:t>86</w:t>
            </w:r>
          </w:p>
        </w:tc>
        <w:tc>
          <w:tcPr>
            <w:tcW w:w="1229" w:type="dxa"/>
            <w:tcBorders>
              <w:top w:val="nil"/>
              <w:left w:val="nil"/>
              <w:bottom w:val="single" w:sz="4" w:space="0" w:color="auto"/>
              <w:right w:val="single" w:sz="4" w:space="0" w:color="auto"/>
            </w:tcBorders>
            <w:shd w:val="clear" w:color="auto" w:fill="auto"/>
            <w:noWrap/>
            <w:vAlign w:val="center"/>
            <w:hideMark/>
          </w:tcPr>
          <w:p w14:paraId="7FFC1C98" w14:textId="77777777" w:rsidR="003534F7" w:rsidRPr="003534F7" w:rsidRDefault="003534F7" w:rsidP="003534F7">
            <w:pPr>
              <w:spacing w:before="0" w:after="0"/>
              <w:ind w:left="0"/>
              <w:jc w:val="center"/>
              <w:rPr>
                <w:sz w:val="20"/>
              </w:rPr>
            </w:pPr>
            <w:r w:rsidRPr="003534F7">
              <w:rPr>
                <w:sz w:val="20"/>
              </w:rPr>
              <w:t>15</w:t>
            </w:r>
          </w:p>
        </w:tc>
        <w:tc>
          <w:tcPr>
            <w:tcW w:w="1228" w:type="dxa"/>
            <w:tcBorders>
              <w:top w:val="nil"/>
              <w:left w:val="nil"/>
              <w:bottom w:val="single" w:sz="4" w:space="0" w:color="auto"/>
              <w:right w:val="single" w:sz="4" w:space="0" w:color="auto"/>
            </w:tcBorders>
            <w:shd w:val="clear" w:color="auto" w:fill="auto"/>
            <w:noWrap/>
            <w:vAlign w:val="center"/>
            <w:hideMark/>
          </w:tcPr>
          <w:p w14:paraId="7FFC1C99" w14:textId="77777777" w:rsidR="003534F7" w:rsidRPr="003534F7" w:rsidRDefault="003534F7" w:rsidP="003534F7">
            <w:pPr>
              <w:spacing w:before="0" w:after="0"/>
              <w:ind w:left="0"/>
              <w:jc w:val="center"/>
              <w:rPr>
                <w:sz w:val="20"/>
              </w:rPr>
            </w:pPr>
            <w:r w:rsidRPr="003534F7">
              <w:rPr>
                <w:sz w:val="20"/>
              </w:rPr>
              <w:t>9</w:t>
            </w:r>
          </w:p>
        </w:tc>
        <w:tc>
          <w:tcPr>
            <w:tcW w:w="1229" w:type="dxa"/>
            <w:tcBorders>
              <w:top w:val="nil"/>
              <w:left w:val="nil"/>
              <w:bottom w:val="single" w:sz="4" w:space="0" w:color="auto"/>
              <w:right w:val="single" w:sz="4" w:space="0" w:color="auto"/>
            </w:tcBorders>
            <w:shd w:val="clear" w:color="auto" w:fill="auto"/>
            <w:noWrap/>
            <w:vAlign w:val="center"/>
            <w:hideMark/>
          </w:tcPr>
          <w:p w14:paraId="7FFC1C9A" w14:textId="77777777" w:rsidR="003534F7" w:rsidRPr="003534F7" w:rsidRDefault="003534F7" w:rsidP="003534F7">
            <w:pPr>
              <w:spacing w:before="0" w:after="0"/>
              <w:ind w:left="0"/>
              <w:jc w:val="center"/>
              <w:rPr>
                <w:sz w:val="20"/>
              </w:rPr>
            </w:pPr>
            <w:r w:rsidRPr="003534F7">
              <w:rPr>
                <w:sz w:val="20"/>
              </w:rPr>
              <w:t>4,0</w:t>
            </w:r>
          </w:p>
        </w:tc>
        <w:tc>
          <w:tcPr>
            <w:tcW w:w="1228" w:type="dxa"/>
            <w:tcBorders>
              <w:top w:val="nil"/>
              <w:left w:val="nil"/>
              <w:bottom w:val="single" w:sz="4" w:space="0" w:color="auto"/>
              <w:right w:val="single" w:sz="4" w:space="0" w:color="auto"/>
            </w:tcBorders>
            <w:shd w:val="clear" w:color="auto" w:fill="auto"/>
            <w:vAlign w:val="center"/>
            <w:hideMark/>
          </w:tcPr>
          <w:p w14:paraId="7FFC1C9B" w14:textId="77777777" w:rsidR="003534F7" w:rsidRPr="003534F7" w:rsidRDefault="003534F7" w:rsidP="003534F7">
            <w:pPr>
              <w:spacing w:before="0" w:after="0"/>
              <w:ind w:left="0"/>
              <w:jc w:val="center"/>
              <w:rPr>
                <w:color w:val="000000"/>
                <w:sz w:val="20"/>
              </w:rPr>
            </w:pPr>
            <w:r w:rsidRPr="003534F7">
              <w:rPr>
                <w:color w:val="000000"/>
                <w:sz w:val="20"/>
              </w:rPr>
              <w:t>8</w:t>
            </w:r>
          </w:p>
        </w:tc>
        <w:tc>
          <w:tcPr>
            <w:tcW w:w="1229" w:type="dxa"/>
            <w:tcBorders>
              <w:top w:val="nil"/>
              <w:left w:val="nil"/>
              <w:bottom w:val="single" w:sz="4" w:space="0" w:color="auto"/>
              <w:right w:val="single" w:sz="8" w:space="0" w:color="auto"/>
            </w:tcBorders>
            <w:shd w:val="clear" w:color="auto" w:fill="auto"/>
            <w:noWrap/>
            <w:vAlign w:val="center"/>
            <w:hideMark/>
          </w:tcPr>
          <w:p w14:paraId="7FFC1C9C" w14:textId="77777777" w:rsidR="003534F7" w:rsidRPr="003534F7" w:rsidRDefault="003534F7" w:rsidP="003534F7">
            <w:pPr>
              <w:spacing w:before="0" w:after="0"/>
              <w:ind w:left="0"/>
              <w:jc w:val="center"/>
              <w:rPr>
                <w:sz w:val="20"/>
              </w:rPr>
            </w:pPr>
            <w:r w:rsidRPr="003534F7">
              <w:rPr>
                <w:sz w:val="20"/>
              </w:rPr>
              <w:t>5</w:t>
            </w:r>
          </w:p>
        </w:tc>
      </w:tr>
      <w:tr w:rsidR="003534F7" w:rsidRPr="003534F7" w14:paraId="7FFC1CA8" w14:textId="77777777" w:rsidTr="003534F7">
        <w:trPr>
          <w:trHeight w:val="900"/>
        </w:trPr>
        <w:tc>
          <w:tcPr>
            <w:tcW w:w="3180" w:type="dxa"/>
            <w:tcBorders>
              <w:top w:val="nil"/>
              <w:left w:val="single" w:sz="8" w:space="0" w:color="auto"/>
              <w:bottom w:val="single" w:sz="4" w:space="0" w:color="auto"/>
              <w:right w:val="single" w:sz="8" w:space="0" w:color="auto"/>
            </w:tcBorders>
            <w:shd w:val="clear" w:color="000000" w:fill="F2F2F2"/>
            <w:vAlign w:val="center"/>
            <w:hideMark/>
          </w:tcPr>
          <w:p w14:paraId="7FFC1C9E"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Classe 6202 : </w:t>
            </w:r>
            <w:r w:rsidRPr="003534F7">
              <w:rPr>
                <w:rFonts w:ascii="Times New Roman" w:hAnsi="Times New Roman" w:cs="Times New Roman"/>
                <w:color w:val="000000"/>
                <w:sz w:val="24"/>
                <w:szCs w:val="24"/>
              </w:rPr>
              <w:br/>
              <w:t>Conseil informatique</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14:paraId="7FFC1C9F" w14:textId="77777777" w:rsidR="003534F7" w:rsidRPr="003534F7" w:rsidRDefault="003534F7" w:rsidP="003534F7">
            <w:pPr>
              <w:spacing w:before="0" w:after="0"/>
              <w:ind w:left="0"/>
              <w:jc w:val="center"/>
              <w:rPr>
                <w:color w:val="000000"/>
                <w:sz w:val="20"/>
              </w:rPr>
            </w:pPr>
            <w:r w:rsidRPr="003534F7">
              <w:rPr>
                <w:color w:val="000000"/>
                <w:sz w:val="20"/>
              </w:rPr>
              <w:t>11%</w:t>
            </w:r>
          </w:p>
        </w:tc>
        <w:tc>
          <w:tcPr>
            <w:tcW w:w="1228" w:type="dxa"/>
            <w:tcBorders>
              <w:top w:val="nil"/>
              <w:left w:val="nil"/>
              <w:bottom w:val="single" w:sz="4" w:space="0" w:color="auto"/>
              <w:right w:val="single" w:sz="4" w:space="0" w:color="auto"/>
            </w:tcBorders>
            <w:shd w:val="clear" w:color="auto" w:fill="auto"/>
            <w:vAlign w:val="center"/>
            <w:hideMark/>
          </w:tcPr>
          <w:p w14:paraId="7FFC1CA0" w14:textId="77777777" w:rsidR="003534F7" w:rsidRPr="003534F7" w:rsidRDefault="003534F7" w:rsidP="003534F7">
            <w:pPr>
              <w:spacing w:before="0" w:after="0"/>
              <w:ind w:left="0"/>
              <w:jc w:val="center"/>
              <w:rPr>
                <w:color w:val="000000"/>
                <w:sz w:val="20"/>
              </w:rPr>
            </w:pPr>
            <w:r w:rsidRPr="003534F7">
              <w:rPr>
                <w:color w:val="000000"/>
                <w:sz w:val="20"/>
              </w:rPr>
              <w:t>5%</w:t>
            </w:r>
          </w:p>
        </w:tc>
        <w:tc>
          <w:tcPr>
            <w:tcW w:w="1229" w:type="dxa"/>
            <w:tcBorders>
              <w:top w:val="nil"/>
              <w:left w:val="nil"/>
              <w:bottom w:val="single" w:sz="4" w:space="0" w:color="auto"/>
              <w:right w:val="single" w:sz="4" w:space="0" w:color="auto"/>
            </w:tcBorders>
            <w:shd w:val="clear" w:color="auto" w:fill="auto"/>
            <w:noWrap/>
            <w:vAlign w:val="center"/>
            <w:hideMark/>
          </w:tcPr>
          <w:p w14:paraId="7FFC1CA1" w14:textId="77777777" w:rsidR="003534F7" w:rsidRPr="003534F7" w:rsidRDefault="003534F7" w:rsidP="003534F7">
            <w:pPr>
              <w:spacing w:before="0" w:after="0"/>
              <w:ind w:left="0"/>
              <w:jc w:val="center"/>
              <w:rPr>
                <w:sz w:val="20"/>
              </w:rPr>
            </w:pPr>
            <w:r w:rsidRPr="003534F7">
              <w:rPr>
                <w:sz w:val="20"/>
              </w:rPr>
              <w:t>11</w:t>
            </w:r>
          </w:p>
        </w:tc>
        <w:tc>
          <w:tcPr>
            <w:tcW w:w="1228" w:type="dxa"/>
            <w:tcBorders>
              <w:top w:val="nil"/>
              <w:left w:val="nil"/>
              <w:bottom w:val="single" w:sz="4" w:space="0" w:color="auto"/>
              <w:right w:val="single" w:sz="4" w:space="0" w:color="auto"/>
            </w:tcBorders>
            <w:shd w:val="clear" w:color="auto" w:fill="auto"/>
            <w:noWrap/>
            <w:vAlign w:val="center"/>
            <w:hideMark/>
          </w:tcPr>
          <w:p w14:paraId="7FFC1CA2" w14:textId="77777777" w:rsidR="003534F7" w:rsidRPr="003534F7" w:rsidRDefault="003534F7" w:rsidP="003534F7">
            <w:pPr>
              <w:spacing w:before="0" w:after="0"/>
              <w:ind w:left="0"/>
              <w:jc w:val="center"/>
              <w:rPr>
                <w:sz w:val="20"/>
              </w:rPr>
            </w:pPr>
            <w:r w:rsidRPr="003534F7">
              <w:rPr>
                <w:sz w:val="20"/>
              </w:rPr>
              <w:t>89</w:t>
            </w:r>
          </w:p>
        </w:tc>
        <w:tc>
          <w:tcPr>
            <w:tcW w:w="1229" w:type="dxa"/>
            <w:tcBorders>
              <w:top w:val="nil"/>
              <w:left w:val="nil"/>
              <w:bottom w:val="single" w:sz="4" w:space="0" w:color="auto"/>
              <w:right w:val="single" w:sz="4" w:space="0" w:color="auto"/>
            </w:tcBorders>
            <w:shd w:val="clear" w:color="auto" w:fill="auto"/>
            <w:noWrap/>
            <w:vAlign w:val="center"/>
            <w:hideMark/>
          </w:tcPr>
          <w:p w14:paraId="7FFC1CA3" w14:textId="77777777" w:rsidR="003534F7" w:rsidRPr="003534F7" w:rsidRDefault="003534F7" w:rsidP="003534F7">
            <w:pPr>
              <w:spacing w:before="0" w:after="0"/>
              <w:ind w:left="0"/>
              <w:jc w:val="center"/>
              <w:rPr>
                <w:sz w:val="20"/>
              </w:rPr>
            </w:pPr>
            <w:r w:rsidRPr="003534F7">
              <w:rPr>
                <w:sz w:val="20"/>
              </w:rPr>
              <w:t>17</w:t>
            </w:r>
          </w:p>
        </w:tc>
        <w:tc>
          <w:tcPr>
            <w:tcW w:w="1228" w:type="dxa"/>
            <w:tcBorders>
              <w:top w:val="nil"/>
              <w:left w:val="nil"/>
              <w:bottom w:val="single" w:sz="4" w:space="0" w:color="auto"/>
              <w:right w:val="single" w:sz="4" w:space="0" w:color="auto"/>
            </w:tcBorders>
            <w:shd w:val="clear" w:color="auto" w:fill="auto"/>
            <w:noWrap/>
            <w:vAlign w:val="center"/>
            <w:hideMark/>
          </w:tcPr>
          <w:p w14:paraId="7FFC1CA4" w14:textId="77777777" w:rsidR="003534F7" w:rsidRPr="003534F7" w:rsidRDefault="003534F7" w:rsidP="003534F7">
            <w:pPr>
              <w:spacing w:before="0" w:after="0"/>
              <w:ind w:left="0"/>
              <w:jc w:val="center"/>
              <w:rPr>
                <w:sz w:val="20"/>
              </w:rPr>
            </w:pPr>
            <w:r w:rsidRPr="003534F7">
              <w:rPr>
                <w:sz w:val="20"/>
              </w:rPr>
              <w:t>11</w:t>
            </w:r>
          </w:p>
        </w:tc>
        <w:tc>
          <w:tcPr>
            <w:tcW w:w="1229" w:type="dxa"/>
            <w:tcBorders>
              <w:top w:val="nil"/>
              <w:left w:val="nil"/>
              <w:bottom w:val="single" w:sz="4" w:space="0" w:color="auto"/>
              <w:right w:val="single" w:sz="4" w:space="0" w:color="auto"/>
            </w:tcBorders>
            <w:shd w:val="clear" w:color="auto" w:fill="auto"/>
            <w:noWrap/>
            <w:vAlign w:val="center"/>
            <w:hideMark/>
          </w:tcPr>
          <w:p w14:paraId="7FFC1CA5" w14:textId="77777777" w:rsidR="003534F7" w:rsidRPr="003534F7" w:rsidRDefault="003534F7" w:rsidP="003534F7">
            <w:pPr>
              <w:spacing w:before="0" w:after="0"/>
              <w:ind w:left="0"/>
              <w:jc w:val="center"/>
              <w:rPr>
                <w:sz w:val="20"/>
              </w:rPr>
            </w:pPr>
            <w:r w:rsidRPr="003534F7">
              <w:rPr>
                <w:sz w:val="20"/>
              </w:rPr>
              <w:t>3,0</w:t>
            </w:r>
          </w:p>
        </w:tc>
        <w:tc>
          <w:tcPr>
            <w:tcW w:w="1228" w:type="dxa"/>
            <w:tcBorders>
              <w:top w:val="nil"/>
              <w:left w:val="nil"/>
              <w:bottom w:val="single" w:sz="4" w:space="0" w:color="auto"/>
              <w:right w:val="single" w:sz="4" w:space="0" w:color="auto"/>
            </w:tcBorders>
            <w:shd w:val="clear" w:color="auto" w:fill="auto"/>
            <w:vAlign w:val="center"/>
            <w:hideMark/>
          </w:tcPr>
          <w:p w14:paraId="7FFC1CA6" w14:textId="77777777" w:rsidR="003534F7" w:rsidRPr="003534F7" w:rsidRDefault="003534F7" w:rsidP="003534F7">
            <w:pPr>
              <w:spacing w:before="0" w:after="0"/>
              <w:ind w:left="0"/>
              <w:jc w:val="center"/>
              <w:rPr>
                <w:color w:val="000000"/>
                <w:sz w:val="20"/>
              </w:rPr>
            </w:pPr>
            <w:r w:rsidRPr="003534F7">
              <w:rPr>
                <w:color w:val="000000"/>
                <w:sz w:val="20"/>
              </w:rPr>
              <w:t>5</w:t>
            </w:r>
          </w:p>
        </w:tc>
        <w:tc>
          <w:tcPr>
            <w:tcW w:w="1229" w:type="dxa"/>
            <w:tcBorders>
              <w:top w:val="nil"/>
              <w:left w:val="nil"/>
              <w:bottom w:val="single" w:sz="4" w:space="0" w:color="auto"/>
              <w:right w:val="single" w:sz="8" w:space="0" w:color="auto"/>
            </w:tcBorders>
            <w:shd w:val="clear" w:color="auto" w:fill="auto"/>
            <w:noWrap/>
            <w:vAlign w:val="center"/>
            <w:hideMark/>
          </w:tcPr>
          <w:p w14:paraId="7FFC1CA7" w14:textId="77777777" w:rsidR="003534F7" w:rsidRPr="003534F7" w:rsidRDefault="003534F7" w:rsidP="003534F7">
            <w:pPr>
              <w:spacing w:before="0" w:after="0"/>
              <w:ind w:left="0"/>
              <w:jc w:val="center"/>
              <w:rPr>
                <w:sz w:val="20"/>
              </w:rPr>
            </w:pPr>
            <w:r w:rsidRPr="003534F7">
              <w:rPr>
                <w:sz w:val="20"/>
              </w:rPr>
              <w:t>3</w:t>
            </w:r>
          </w:p>
        </w:tc>
      </w:tr>
      <w:tr w:rsidR="003534F7" w:rsidRPr="003534F7" w14:paraId="7FFC1CB3" w14:textId="77777777" w:rsidTr="003534F7">
        <w:trPr>
          <w:trHeight w:val="900"/>
        </w:trPr>
        <w:tc>
          <w:tcPr>
            <w:tcW w:w="3180" w:type="dxa"/>
            <w:tcBorders>
              <w:top w:val="nil"/>
              <w:left w:val="single" w:sz="8" w:space="0" w:color="auto"/>
              <w:bottom w:val="single" w:sz="8" w:space="0" w:color="auto"/>
              <w:right w:val="single" w:sz="8" w:space="0" w:color="auto"/>
            </w:tcBorders>
            <w:shd w:val="clear" w:color="000000" w:fill="F2F2F2"/>
            <w:vAlign w:val="center"/>
            <w:hideMark/>
          </w:tcPr>
          <w:p w14:paraId="7FFC1CA9" w14:textId="77777777"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Sous-Classe 6202A : </w:t>
            </w:r>
            <w:r w:rsidRPr="003534F7">
              <w:rPr>
                <w:rFonts w:ascii="Times New Roman" w:hAnsi="Times New Roman" w:cs="Times New Roman"/>
                <w:color w:val="000000"/>
                <w:sz w:val="24"/>
                <w:szCs w:val="24"/>
              </w:rPr>
              <w:br/>
              <w:t>Conseil en systèmes et logiciels informatiques</w:t>
            </w:r>
          </w:p>
        </w:tc>
        <w:tc>
          <w:tcPr>
            <w:tcW w:w="1228" w:type="dxa"/>
            <w:tcBorders>
              <w:top w:val="nil"/>
              <w:left w:val="single" w:sz="8" w:space="0" w:color="auto"/>
              <w:bottom w:val="single" w:sz="8" w:space="0" w:color="auto"/>
              <w:right w:val="single" w:sz="4" w:space="0" w:color="auto"/>
            </w:tcBorders>
            <w:shd w:val="clear" w:color="auto" w:fill="auto"/>
            <w:vAlign w:val="center"/>
            <w:hideMark/>
          </w:tcPr>
          <w:p w14:paraId="7FFC1CAA" w14:textId="77777777" w:rsidR="003534F7" w:rsidRPr="003534F7" w:rsidRDefault="003534F7" w:rsidP="003534F7">
            <w:pPr>
              <w:spacing w:before="0" w:after="0"/>
              <w:ind w:left="0"/>
              <w:jc w:val="center"/>
              <w:rPr>
                <w:color w:val="000000"/>
                <w:sz w:val="20"/>
              </w:rPr>
            </w:pPr>
            <w:r w:rsidRPr="003534F7">
              <w:rPr>
                <w:color w:val="000000"/>
                <w:sz w:val="20"/>
              </w:rPr>
              <w:t>10%</w:t>
            </w:r>
          </w:p>
        </w:tc>
        <w:tc>
          <w:tcPr>
            <w:tcW w:w="1228" w:type="dxa"/>
            <w:tcBorders>
              <w:top w:val="nil"/>
              <w:left w:val="nil"/>
              <w:bottom w:val="single" w:sz="8" w:space="0" w:color="auto"/>
              <w:right w:val="single" w:sz="4" w:space="0" w:color="auto"/>
            </w:tcBorders>
            <w:shd w:val="clear" w:color="auto" w:fill="auto"/>
            <w:vAlign w:val="center"/>
            <w:hideMark/>
          </w:tcPr>
          <w:p w14:paraId="7FFC1CAB" w14:textId="77777777" w:rsidR="003534F7" w:rsidRPr="003534F7" w:rsidRDefault="003534F7" w:rsidP="003534F7">
            <w:pPr>
              <w:spacing w:before="0" w:after="0"/>
              <w:ind w:left="0"/>
              <w:jc w:val="center"/>
              <w:rPr>
                <w:color w:val="000000"/>
                <w:sz w:val="20"/>
              </w:rPr>
            </w:pPr>
            <w:r w:rsidRPr="003534F7">
              <w:rPr>
                <w:color w:val="000000"/>
                <w:sz w:val="20"/>
              </w:rPr>
              <w:t>5%</w:t>
            </w:r>
          </w:p>
        </w:tc>
        <w:tc>
          <w:tcPr>
            <w:tcW w:w="1229" w:type="dxa"/>
            <w:tcBorders>
              <w:top w:val="nil"/>
              <w:left w:val="nil"/>
              <w:bottom w:val="single" w:sz="8" w:space="0" w:color="auto"/>
              <w:right w:val="single" w:sz="4" w:space="0" w:color="auto"/>
            </w:tcBorders>
            <w:shd w:val="clear" w:color="auto" w:fill="auto"/>
            <w:noWrap/>
            <w:vAlign w:val="center"/>
            <w:hideMark/>
          </w:tcPr>
          <w:p w14:paraId="7FFC1CAC" w14:textId="77777777" w:rsidR="003534F7" w:rsidRPr="003534F7" w:rsidRDefault="003534F7" w:rsidP="003534F7">
            <w:pPr>
              <w:spacing w:before="0" w:after="0"/>
              <w:ind w:left="0"/>
              <w:jc w:val="center"/>
              <w:rPr>
                <w:sz w:val="20"/>
              </w:rPr>
            </w:pPr>
            <w:r w:rsidRPr="003534F7">
              <w:rPr>
                <w:sz w:val="20"/>
              </w:rPr>
              <w:t>10</w:t>
            </w:r>
          </w:p>
        </w:tc>
        <w:tc>
          <w:tcPr>
            <w:tcW w:w="1228" w:type="dxa"/>
            <w:tcBorders>
              <w:top w:val="nil"/>
              <w:left w:val="nil"/>
              <w:bottom w:val="single" w:sz="8" w:space="0" w:color="auto"/>
              <w:right w:val="single" w:sz="4" w:space="0" w:color="auto"/>
            </w:tcBorders>
            <w:shd w:val="clear" w:color="auto" w:fill="auto"/>
            <w:noWrap/>
            <w:vAlign w:val="center"/>
            <w:hideMark/>
          </w:tcPr>
          <w:p w14:paraId="7FFC1CAD" w14:textId="77777777" w:rsidR="003534F7" w:rsidRPr="003534F7" w:rsidRDefault="003534F7" w:rsidP="003534F7">
            <w:pPr>
              <w:spacing w:before="0" w:after="0"/>
              <w:ind w:left="0"/>
              <w:jc w:val="center"/>
              <w:rPr>
                <w:sz w:val="20"/>
              </w:rPr>
            </w:pPr>
            <w:r w:rsidRPr="003534F7">
              <w:rPr>
                <w:sz w:val="20"/>
              </w:rPr>
              <w:t>90</w:t>
            </w:r>
          </w:p>
        </w:tc>
        <w:tc>
          <w:tcPr>
            <w:tcW w:w="1229" w:type="dxa"/>
            <w:tcBorders>
              <w:top w:val="nil"/>
              <w:left w:val="nil"/>
              <w:bottom w:val="single" w:sz="8" w:space="0" w:color="auto"/>
              <w:right w:val="single" w:sz="4" w:space="0" w:color="auto"/>
            </w:tcBorders>
            <w:shd w:val="clear" w:color="000000" w:fill="FFE699"/>
            <w:noWrap/>
            <w:vAlign w:val="center"/>
            <w:hideMark/>
          </w:tcPr>
          <w:p w14:paraId="7FFC1CAE" w14:textId="77777777" w:rsidR="003534F7" w:rsidRPr="003534F7" w:rsidRDefault="003534F7" w:rsidP="003534F7">
            <w:pPr>
              <w:spacing w:before="0" w:after="0"/>
              <w:ind w:left="0"/>
              <w:jc w:val="center"/>
              <w:rPr>
                <w:color w:val="000000"/>
                <w:sz w:val="20"/>
              </w:rPr>
            </w:pPr>
            <w:r w:rsidRPr="003534F7">
              <w:rPr>
                <w:color w:val="000000"/>
                <w:sz w:val="20"/>
              </w:rPr>
              <w:t>11%</w:t>
            </w:r>
          </w:p>
        </w:tc>
        <w:tc>
          <w:tcPr>
            <w:tcW w:w="1228" w:type="dxa"/>
            <w:tcBorders>
              <w:top w:val="nil"/>
              <w:left w:val="nil"/>
              <w:bottom w:val="single" w:sz="8" w:space="0" w:color="auto"/>
              <w:right w:val="single" w:sz="4" w:space="0" w:color="auto"/>
            </w:tcBorders>
            <w:shd w:val="clear" w:color="000000" w:fill="FFE699"/>
            <w:noWrap/>
            <w:vAlign w:val="center"/>
            <w:hideMark/>
          </w:tcPr>
          <w:p w14:paraId="7FFC1CAF" w14:textId="77777777" w:rsidR="003534F7" w:rsidRPr="003534F7" w:rsidRDefault="003534F7" w:rsidP="003534F7">
            <w:pPr>
              <w:spacing w:before="0" w:after="0"/>
              <w:ind w:left="0"/>
              <w:jc w:val="center"/>
              <w:rPr>
                <w:color w:val="000000"/>
                <w:sz w:val="20"/>
              </w:rPr>
            </w:pPr>
            <w:r w:rsidRPr="003534F7">
              <w:rPr>
                <w:color w:val="000000"/>
                <w:sz w:val="20"/>
              </w:rPr>
              <w:t>9%</w:t>
            </w:r>
          </w:p>
        </w:tc>
        <w:tc>
          <w:tcPr>
            <w:tcW w:w="1229" w:type="dxa"/>
            <w:tcBorders>
              <w:top w:val="nil"/>
              <w:left w:val="nil"/>
              <w:bottom w:val="single" w:sz="8" w:space="0" w:color="auto"/>
              <w:right w:val="single" w:sz="4" w:space="0" w:color="auto"/>
            </w:tcBorders>
            <w:shd w:val="clear" w:color="000000" w:fill="D9D9D9"/>
            <w:noWrap/>
            <w:vAlign w:val="center"/>
            <w:hideMark/>
          </w:tcPr>
          <w:p w14:paraId="7FFC1CB0" w14:textId="77777777" w:rsidR="003534F7" w:rsidRPr="003534F7" w:rsidRDefault="003534F7" w:rsidP="003534F7">
            <w:pPr>
              <w:spacing w:before="0" w:after="0"/>
              <w:ind w:left="0"/>
              <w:jc w:val="center"/>
              <w:rPr>
                <w:color w:val="000000"/>
                <w:sz w:val="20"/>
              </w:rPr>
            </w:pPr>
            <w:r w:rsidRPr="003534F7">
              <w:rPr>
                <w:color w:val="000000"/>
                <w:sz w:val="20"/>
              </w:rPr>
              <w:t>n.d</w:t>
            </w:r>
          </w:p>
        </w:tc>
        <w:tc>
          <w:tcPr>
            <w:tcW w:w="1228" w:type="dxa"/>
            <w:tcBorders>
              <w:top w:val="nil"/>
              <w:left w:val="nil"/>
              <w:bottom w:val="single" w:sz="8" w:space="0" w:color="auto"/>
              <w:right w:val="single" w:sz="4" w:space="0" w:color="auto"/>
            </w:tcBorders>
            <w:shd w:val="clear" w:color="000000" w:fill="D9D9D9"/>
            <w:noWrap/>
            <w:vAlign w:val="center"/>
            <w:hideMark/>
          </w:tcPr>
          <w:p w14:paraId="7FFC1CB1" w14:textId="77777777" w:rsidR="003534F7" w:rsidRPr="003534F7" w:rsidRDefault="003534F7" w:rsidP="003534F7">
            <w:pPr>
              <w:spacing w:before="0" w:after="0"/>
              <w:ind w:left="0"/>
              <w:jc w:val="center"/>
              <w:rPr>
                <w:color w:val="000000"/>
                <w:sz w:val="20"/>
              </w:rPr>
            </w:pPr>
            <w:r w:rsidRPr="003534F7">
              <w:rPr>
                <w:color w:val="000000"/>
                <w:sz w:val="20"/>
              </w:rPr>
              <w:t>n.d</w:t>
            </w:r>
          </w:p>
        </w:tc>
        <w:tc>
          <w:tcPr>
            <w:tcW w:w="1229" w:type="dxa"/>
            <w:tcBorders>
              <w:top w:val="nil"/>
              <w:left w:val="nil"/>
              <w:bottom w:val="single" w:sz="8" w:space="0" w:color="auto"/>
              <w:right w:val="single" w:sz="8" w:space="0" w:color="auto"/>
            </w:tcBorders>
            <w:shd w:val="clear" w:color="000000" w:fill="D9D9D9"/>
            <w:noWrap/>
            <w:vAlign w:val="center"/>
            <w:hideMark/>
          </w:tcPr>
          <w:p w14:paraId="7FFC1CB2" w14:textId="77777777" w:rsidR="003534F7" w:rsidRPr="003534F7" w:rsidRDefault="003534F7" w:rsidP="003534F7">
            <w:pPr>
              <w:spacing w:before="0" w:after="0"/>
              <w:ind w:left="0"/>
              <w:jc w:val="center"/>
              <w:rPr>
                <w:color w:val="000000"/>
                <w:sz w:val="20"/>
              </w:rPr>
            </w:pPr>
            <w:r w:rsidRPr="003534F7">
              <w:rPr>
                <w:color w:val="000000"/>
                <w:sz w:val="20"/>
              </w:rPr>
              <w:t>n.d</w:t>
            </w:r>
          </w:p>
        </w:tc>
      </w:tr>
    </w:tbl>
    <w:p w14:paraId="7FFC1CB4" w14:textId="77777777" w:rsidR="003534F7" w:rsidRDefault="003534F7" w:rsidP="00443015">
      <w:r>
        <w:t xml:space="preserve">Source : INSEE </w:t>
      </w:r>
    </w:p>
    <w:p w14:paraId="7FFC1CB5" w14:textId="77777777" w:rsidR="003534F7" w:rsidRDefault="003534F7" w:rsidP="003534F7">
      <w:r>
        <w:t>Les valeurs en couleurs ne sont pas disponibles à l’INSEE mais nous les avons estimés à partir des données Diane.</w:t>
      </w:r>
    </w:p>
    <w:p w14:paraId="7FFC1CB6" w14:textId="77777777" w:rsidR="003534F7" w:rsidRPr="00443015" w:rsidRDefault="003534F7" w:rsidP="00800766">
      <w:r>
        <w:t xml:space="preserve">Les valeurs </w:t>
      </w:r>
      <w:r w:rsidR="00800766">
        <w:t xml:space="preserve">n.d ne sont pas disponibles et nous n’avons pas d’autres sources de données pour l’instant pour les estimer. </w:t>
      </w:r>
    </w:p>
    <w:p w14:paraId="7FFC1CB7" w14:textId="77777777" w:rsidR="00FC4333" w:rsidRDefault="00FC4333" w:rsidP="00FC4333">
      <w:pPr>
        <w:pStyle w:val="Heading1"/>
      </w:pPr>
      <w:r>
        <w:lastRenderedPageBreak/>
        <w:t xml:space="preserve">  </w:t>
      </w:r>
      <w:bookmarkStart w:id="41" w:name="_Toc454465571"/>
      <w:r w:rsidR="00A166F7">
        <w:t>Démographie, q</w:t>
      </w:r>
      <w:r>
        <w:t>ualification et localisation des emplois</w:t>
      </w:r>
      <w:bookmarkEnd w:id="41"/>
      <w:r>
        <w:t xml:space="preserve">  </w:t>
      </w:r>
    </w:p>
    <w:p w14:paraId="7FFC1CB8" w14:textId="77777777" w:rsidR="00FC4333" w:rsidRDefault="00A166F7" w:rsidP="00A166F7">
      <w:pPr>
        <w:pStyle w:val="Heading2"/>
      </w:pPr>
      <w:bookmarkStart w:id="42" w:name="_Toc454465572"/>
      <w:r>
        <w:t>Démographie des entreprises su secteur</w:t>
      </w:r>
      <w:bookmarkEnd w:id="42"/>
      <w:r>
        <w:t xml:space="preserve"> </w:t>
      </w:r>
    </w:p>
    <w:p w14:paraId="7FFC1CB9" w14:textId="77777777" w:rsidR="00EF2230" w:rsidRDefault="00EF2230" w:rsidP="00A166F7">
      <w:pPr>
        <w:pStyle w:val="Heading3"/>
      </w:pPr>
      <w:bookmarkStart w:id="43" w:name="_Toc454465573"/>
      <w:r>
        <w:t>Structure du secteur</w:t>
      </w:r>
      <w:bookmarkEnd w:id="43"/>
      <w:r>
        <w:t xml:space="preserve"> </w:t>
      </w:r>
    </w:p>
    <w:p w14:paraId="7FFC1CBA" w14:textId="77777777" w:rsidR="00BD2CAE" w:rsidRDefault="004E3855" w:rsidP="005D79EA">
      <w:r>
        <w:t xml:space="preserve">Le </w:t>
      </w:r>
      <w:r w:rsidR="00567BB5">
        <w:fldChar w:fldCharType="begin"/>
      </w:r>
      <w:r>
        <w:instrText xml:space="preserve"> REF _Ref451801582 \h </w:instrText>
      </w:r>
      <w:r w:rsidR="00567BB5">
        <w:fldChar w:fldCharType="separate"/>
      </w:r>
      <w:r w:rsidR="00CB4331">
        <w:t xml:space="preserve">Graphique  </w:t>
      </w:r>
      <w:r w:rsidR="00CB4331">
        <w:rPr>
          <w:noProof/>
        </w:rPr>
        <w:t>10</w:t>
      </w:r>
      <w:r w:rsidR="00567BB5">
        <w:fldChar w:fldCharType="end"/>
      </w:r>
      <w:r>
        <w:t xml:space="preserve"> montre la concentration du secteur en 2014 et le </w:t>
      </w:r>
      <w:r w:rsidR="00567BB5">
        <w:fldChar w:fldCharType="begin"/>
      </w:r>
      <w:r>
        <w:instrText xml:space="preserve"> REF _Ref451801633 \h </w:instrText>
      </w:r>
      <w:r w:rsidR="00567BB5">
        <w:fldChar w:fldCharType="separate"/>
      </w:r>
      <w:r w:rsidR="00CB4331">
        <w:t xml:space="preserve">Graphique  </w:t>
      </w:r>
      <w:r w:rsidR="00CB4331">
        <w:rPr>
          <w:noProof/>
        </w:rPr>
        <w:t>11</w:t>
      </w:r>
      <w:r w:rsidR="00567BB5">
        <w:fldChar w:fldCharType="end"/>
      </w:r>
      <w:r>
        <w:t xml:space="preserve"> montre l’évolution de la concentration entre 2004 et 2014. </w:t>
      </w:r>
    </w:p>
    <w:p w14:paraId="7FFC1CBB" w14:textId="77777777" w:rsidR="00BD2CAE" w:rsidRDefault="00BD2CAE" w:rsidP="005D79EA">
      <w:r>
        <w:t xml:space="preserve">Sur le </w:t>
      </w:r>
      <w:r w:rsidR="00567BB5">
        <w:fldChar w:fldCharType="begin"/>
      </w:r>
      <w:r>
        <w:instrText xml:space="preserve"> REF _Ref451801912 \h </w:instrText>
      </w:r>
      <w:r w:rsidR="00567BB5">
        <w:fldChar w:fldCharType="separate"/>
      </w:r>
      <w:r w:rsidR="00CB4331">
        <w:t xml:space="preserve">Graphique  </w:t>
      </w:r>
      <w:r w:rsidR="00CB4331">
        <w:rPr>
          <w:noProof/>
        </w:rPr>
        <w:t>12</w:t>
      </w:r>
      <w:r w:rsidR="00567BB5">
        <w:fldChar w:fldCharType="end"/>
      </w:r>
      <w:r>
        <w:t xml:space="preserve"> on représente la taille du top 100 des entreprises du secteur par chiffre d’affaire et par total du bilan. </w:t>
      </w:r>
    </w:p>
    <w:p w14:paraId="7FFC1CBC" w14:textId="77777777" w:rsidR="00EF2230" w:rsidRDefault="00BD2CAE" w:rsidP="0037370C">
      <w:r>
        <w:t>Sur le</w:t>
      </w:r>
      <w:r w:rsidR="004E3855">
        <w:t xml:space="preserve"> </w:t>
      </w:r>
      <w:r w:rsidR="00D767D8">
        <w:fldChar w:fldCharType="begin"/>
      </w:r>
      <w:r w:rsidR="00D767D8">
        <w:instrText xml:space="preserve"> REF _Ref451801999 \h  \* MERGEFORMAT </w:instrText>
      </w:r>
      <w:r w:rsidR="00D767D8">
        <w:fldChar w:fldCharType="separate"/>
      </w:r>
      <w:r w:rsidR="00CB4331">
        <w:t xml:space="preserve">Graphique  </w:t>
      </w:r>
      <w:r w:rsidR="00CB4331">
        <w:rPr>
          <w:noProof/>
        </w:rPr>
        <w:t>13</w:t>
      </w:r>
      <w:r w:rsidR="00D767D8">
        <w:fldChar w:fldCharType="end"/>
      </w:r>
      <w:r>
        <w:t xml:space="preserve"> on représente les entreprises par des cercles de taille proportionnelle aux chiffres d’affaire. Sur l’axe horizontal, on représente la part de marché relative de chaque entreprise par rapport au leader (IBM). Pour le leader, on calcule sa part relative par rapport au second (Sopra-Steria). Sur l’axe vertical on représente le taux de croissance annuel moyen des entreprises entre 2010 et 2014. L’intersection des axes verts représente une entreprise fictive qui a la taille minimale optimale (c'est-à-dire 7% du leader) et dont la croissance correspond au taux de croissance moyen du marché (6,5%). </w:t>
      </w:r>
    </w:p>
    <w:p w14:paraId="7FFC1CBD" w14:textId="77777777" w:rsidR="00EF2230" w:rsidRDefault="00D221E9" w:rsidP="00D221E9">
      <w:pPr>
        <w:pStyle w:val="Heading3"/>
      </w:pPr>
      <w:bookmarkStart w:id="44" w:name="_Toc454465574"/>
      <w:r>
        <w:t>Localisation des entreprises</w:t>
      </w:r>
      <w:bookmarkEnd w:id="44"/>
      <w:r>
        <w:t xml:space="preserve"> </w:t>
      </w:r>
    </w:p>
    <w:p w14:paraId="7FFC1CBE" w14:textId="77777777" w:rsidR="00044BCC" w:rsidRDefault="00044BCC" w:rsidP="00044BCC">
      <w:r>
        <w:t>On représente sur le</w:t>
      </w:r>
      <w:r w:rsidR="00867837">
        <w:t xml:space="preserve"> </w:t>
      </w:r>
      <w:r w:rsidR="00567BB5">
        <w:fldChar w:fldCharType="begin"/>
      </w:r>
      <w:r w:rsidR="00C739C3">
        <w:instrText xml:space="preserve"> REF _Ref451798613 \h </w:instrText>
      </w:r>
      <w:r w:rsidR="00567BB5">
        <w:fldChar w:fldCharType="separate"/>
      </w:r>
      <w:r w:rsidR="00CB4331">
        <w:t xml:space="preserve">Graphique  </w:t>
      </w:r>
      <w:r w:rsidR="00CB4331">
        <w:rPr>
          <w:noProof/>
        </w:rPr>
        <w:t>14</w:t>
      </w:r>
      <w:r w:rsidR="00567BB5">
        <w:fldChar w:fldCharType="end"/>
      </w:r>
      <w:r>
        <w:t xml:space="preserve"> la localisation géographique des entreprises et des salariés du secteur en France</w:t>
      </w:r>
      <w:r w:rsidR="00F37521">
        <w:t xml:space="preserve">. </w:t>
      </w:r>
      <w:r>
        <w:t xml:space="preserve">On constate que 20% des régions en France (soit 6 régions) accueillent 80% des établissements et 96% des effectifs du secteur. Plus que la moitié (53%) sont localisés en Île-de-France avec 68% des effectifs. </w:t>
      </w:r>
    </w:p>
    <w:p w14:paraId="7FFC1CBF" w14:textId="77777777" w:rsidR="00044BCC" w:rsidRDefault="00044BCC" w:rsidP="00044BCC">
      <w:r>
        <w:t>Le service est caractérisé par la proximité avec le client. La majorité des clients sont situés dans la région parisienne. En effet, le service informatique est souvent lié à des besoins exprimé</w:t>
      </w:r>
      <w:r w:rsidR="00C07594">
        <w:t>s</w:t>
      </w:r>
      <w:r>
        <w:t xml:space="preserve"> par les sièges sociaux qui sont généralement dans cette région. De plus, la région d’Île-de-France contient deux pôles de compétitivité fortement marqués par la thématique des TIC et beaucoup d’adhérents. Il s’agit des pôles CAP DIGITAL et SYSTEMATIC. Cela explique la forte densité des entreprises de ce secteur dans cette région. </w:t>
      </w:r>
    </w:p>
    <w:p w14:paraId="7FFC1CC0" w14:textId="77777777" w:rsidR="00044BCC" w:rsidRDefault="00044BCC" w:rsidP="00044BCC">
      <w:r>
        <w:t xml:space="preserve">L’autre moitié des établissements est répartit sur l’ensemble du territoire avec une présence marquée en Provence-Alpes-Côte d’Azur avec le pôle « Solutions Communicantes Sécurisées (SCS), en Rhône-Alpes avec les pôles MINALOGIC et IMAGINOVE. </w:t>
      </w:r>
    </w:p>
    <w:p w14:paraId="7FFC1CC1" w14:textId="77777777" w:rsidR="00044BCC" w:rsidRDefault="00044BCC" w:rsidP="00044BCC">
      <w:r>
        <w:t xml:space="preserve">Dans d’autres régions comme à Toulouse, il y a très peu de clients voire un seul qui est Airbus et plusieurs petites entreprises de services informatiques autour de ce client. Dans cette dernière région le secteur a donc la forme d’un oligopsone voire monopsone sur certains segments. </w:t>
      </w:r>
    </w:p>
    <w:p w14:paraId="7FFC1CC2" w14:textId="77777777" w:rsidR="00044BCC" w:rsidRDefault="00044BCC" w:rsidP="00044BCC">
      <w:r>
        <w:lastRenderedPageBreak/>
        <w:t>Il y a plusieurs incitations qui encouragent les entreprises à rejoindre un pôle de compétitivité. En effet, selon la DGCIS</w:t>
      </w:r>
      <w:r>
        <w:rPr>
          <w:rStyle w:val="FootnoteReference"/>
        </w:rPr>
        <w:footnoteReference w:id="16"/>
      </w:r>
      <w:r>
        <w:t xml:space="preserve"> dans son « 4 pages » de septembre 2013, rejoindre les pôles de compétitivité est un atout car ces pôles renforcent les liens de leurs membres avec l’international. On note aussi que depuis 2009, 50% des projets de R&amp;D qui sont soutenus par le FUI</w:t>
      </w:r>
      <w:r>
        <w:rPr>
          <w:rStyle w:val="FootnoteReference"/>
        </w:rPr>
        <w:footnoteReference w:id="17"/>
      </w:r>
      <w:r>
        <w:t xml:space="preserve">, intègrent une composante TIC dans leurs thématiques. </w:t>
      </w:r>
    </w:p>
    <w:p w14:paraId="7FFC1CC3" w14:textId="77777777" w:rsidR="00D221E9" w:rsidRPr="00EF2230" w:rsidRDefault="00D221E9" w:rsidP="005D79EA"/>
    <w:p w14:paraId="7FFC1CC4" w14:textId="77777777" w:rsidR="00A166F7" w:rsidRDefault="00A166F7" w:rsidP="00A166F7">
      <w:pPr>
        <w:pStyle w:val="Heading3"/>
      </w:pPr>
      <w:bookmarkStart w:id="45" w:name="_Toc454465575"/>
      <w:r>
        <w:t>La création et la défaillance des entreprises</w:t>
      </w:r>
      <w:bookmarkEnd w:id="45"/>
      <w:r>
        <w:t xml:space="preserve"> </w:t>
      </w:r>
    </w:p>
    <w:p w14:paraId="7FFC1CC5" w14:textId="77777777" w:rsidR="00A166F7" w:rsidRPr="00A166F7" w:rsidRDefault="007A3DB9" w:rsidP="00A166F7">
      <w:r>
        <w:t xml:space="preserve">Cf. </w:t>
      </w:r>
      <w:r w:rsidR="00567BB5">
        <w:fldChar w:fldCharType="begin"/>
      </w:r>
      <w:r>
        <w:instrText xml:space="preserve"> REF _Ref451799744 \h </w:instrText>
      </w:r>
      <w:r w:rsidR="00567BB5">
        <w:fldChar w:fldCharType="separate"/>
      </w:r>
      <w:r w:rsidR="00CB4331">
        <w:t xml:space="preserve">Graphique  </w:t>
      </w:r>
      <w:r w:rsidR="00CB4331">
        <w:rPr>
          <w:noProof/>
        </w:rPr>
        <w:t>15</w:t>
      </w:r>
      <w:r w:rsidR="00567BB5">
        <w:fldChar w:fldCharType="end"/>
      </w:r>
      <w:r>
        <w:t xml:space="preserve">. </w:t>
      </w:r>
    </w:p>
    <w:p w14:paraId="7FFC1CC6" w14:textId="77777777" w:rsidR="00A166F7" w:rsidRDefault="00A166F7" w:rsidP="00A166F7">
      <w:pPr>
        <w:pStyle w:val="Heading3"/>
      </w:pPr>
      <w:bookmarkStart w:id="46" w:name="_Toc454465576"/>
      <w:r>
        <w:t>L’âge des entreprises</w:t>
      </w:r>
      <w:bookmarkEnd w:id="46"/>
      <w:r>
        <w:t xml:space="preserve"> </w:t>
      </w:r>
    </w:p>
    <w:p w14:paraId="7FFC1CC7" w14:textId="77777777" w:rsidR="00A166F7" w:rsidRDefault="00F37521" w:rsidP="00FC4333">
      <w:r>
        <w:t xml:space="preserve">Cf. </w:t>
      </w:r>
      <w:r w:rsidR="00567BB5">
        <w:fldChar w:fldCharType="begin"/>
      </w:r>
      <w:r>
        <w:instrText xml:space="preserve"> REF _Ref451800425 \h </w:instrText>
      </w:r>
      <w:r w:rsidR="00567BB5">
        <w:fldChar w:fldCharType="separate"/>
      </w:r>
      <w:r w:rsidR="00CB4331">
        <w:t xml:space="preserve">Graphique  </w:t>
      </w:r>
      <w:r w:rsidR="00CB4331">
        <w:rPr>
          <w:noProof/>
        </w:rPr>
        <w:t>17</w:t>
      </w:r>
      <w:r w:rsidR="00567BB5">
        <w:fldChar w:fldCharType="end"/>
      </w:r>
      <w:r>
        <w:t xml:space="preserve">. La pyramide des âges de ce graphique n’est pas parfaitement symétrique car à cause de la qualité des données trouvées. </w:t>
      </w:r>
      <w:r w:rsidR="007A3DB9">
        <w:t xml:space="preserve">En effet, dans notre base de données il manque beaucoup de données surtout pour les petites et très petites entreprises. </w:t>
      </w:r>
    </w:p>
    <w:p w14:paraId="7FFC1CC8" w14:textId="77777777" w:rsidR="007A3DB9" w:rsidRDefault="007A3DB9" w:rsidP="00FC4333"/>
    <w:p w14:paraId="7FFC1CC9" w14:textId="77777777" w:rsidR="00A166F7" w:rsidRDefault="00A166F7" w:rsidP="00A166F7">
      <w:pPr>
        <w:pStyle w:val="Heading2"/>
      </w:pPr>
      <w:bookmarkStart w:id="47" w:name="_Toc454465577"/>
      <w:r>
        <w:t>Démographie des salariés</w:t>
      </w:r>
      <w:bookmarkEnd w:id="47"/>
      <w:r>
        <w:t xml:space="preserve"> </w:t>
      </w:r>
    </w:p>
    <w:p w14:paraId="7FFC1CCA" w14:textId="77777777" w:rsidR="00A166F7" w:rsidRDefault="00A166F7" w:rsidP="00A166F7">
      <w:pPr>
        <w:pStyle w:val="Heading3"/>
      </w:pPr>
      <w:bookmarkStart w:id="48" w:name="_Toc454465578"/>
      <w:r>
        <w:t>Nombre d’emploi par taille d’entreprise</w:t>
      </w:r>
      <w:bookmarkEnd w:id="48"/>
      <w:r>
        <w:t xml:space="preserve"> </w:t>
      </w:r>
    </w:p>
    <w:p w14:paraId="7FFC1CCB" w14:textId="77777777" w:rsidR="00A166F7" w:rsidRDefault="007A3DB9" w:rsidP="00FC4333">
      <w:r>
        <w:t xml:space="preserve">Cf. </w:t>
      </w:r>
      <w:r w:rsidR="00567BB5">
        <w:fldChar w:fldCharType="begin"/>
      </w:r>
      <w:r>
        <w:instrText xml:space="preserve"> REF _Ref451800077 \h </w:instrText>
      </w:r>
      <w:r w:rsidR="00567BB5">
        <w:fldChar w:fldCharType="separate"/>
      </w:r>
      <w:r w:rsidR="00CB4331">
        <w:t xml:space="preserve">Graphique  </w:t>
      </w:r>
      <w:r w:rsidR="00CB4331">
        <w:rPr>
          <w:noProof/>
        </w:rPr>
        <w:t>16</w:t>
      </w:r>
      <w:r w:rsidR="00567BB5">
        <w:fldChar w:fldCharType="end"/>
      </w:r>
      <w:r>
        <w:t xml:space="preserve">. Les grandes variations d’une année à l’autre peuvent s’expliquer par la qualité de données. </w:t>
      </w:r>
    </w:p>
    <w:p w14:paraId="7FFC1CCC" w14:textId="77777777" w:rsidR="00CD5A03" w:rsidRDefault="00CD5A03" w:rsidP="00FC4333"/>
    <w:p w14:paraId="7FFC1CCD" w14:textId="77777777" w:rsidR="00CD5A03" w:rsidRDefault="00CD5A03" w:rsidP="00FC4333"/>
    <w:p w14:paraId="7FFC1CCE" w14:textId="77777777" w:rsidR="00CD5A03" w:rsidRDefault="00CD5A03" w:rsidP="00FC4333"/>
    <w:p w14:paraId="7FFC1CCF" w14:textId="77777777" w:rsidR="00C07594" w:rsidRDefault="00C07594">
      <w:pPr>
        <w:spacing w:before="0" w:after="0"/>
        <w:ind w:left="0"/>
        <w:jc w:val="left"/>
        <w:rPr>
          <w:bCs/>
          <w:sz w:val="26"/>
          <w:szCs w:val="26"/>
          <w:u w:val="single"/>
        </w:rPr>
      </w:pPr>
      <w:r>
        <w:br w:type="page"/>
      </w:r>
    </w:p>
    <w:p w14:paraId="7FFC1CD0" w14:textId="77777777" w:rsidR="00A166F7" w:rsidRDefault="00A166F7" w:rsidP="00A166F7">
      <w:pPr>
        <w:pStyle w:val="Heading3"/>
      </w:pPr>
      <w:bookmarkStart w:id="49" w:name="_Toc454465579"/>
      <w:r>
        <w:lastRenderedPageBreak/>
        <w:t>Qualification des emplois</w:t>
      </w:r>
      <w:bookmarkEnd w:id="49"/>
      <w:r>
        <w:t xml:space="preserve"> </w:t>
      </w:r>
    </w:p>
    <w:p w14:paraId="7FFC1CD1" w14:textId="77777777" w:rsidR="00CD5A03" w:rsidRDefault="00CD5A03">
      <w:pPr>
        <w:spacing w:before="0" w:after="0"/>
        <w:ind w:left="0"/>
        <w:jc w:val="left"/>
      </w:pPr>
    </w:p>
    <w:p w14:paraId="7FFC1CD2" w14:textId="77777777" w:rsidR="00A166F7" w:rsidRDefault="00A166F7" w:rsidP="00FC4333"/>
    <w:tbl>
      <w:tblPr>
        <w:tblW w:w="14345" w:type="dxa"/>
        <w:jc w:val="center"/>
        <w:tblCellMar>
          <w:left w:w="70" w:type="dxa"/>
          <w:right w:w="70" w:type="dxa"/>
        </w:tblCellMar>
        <w:tblLook w:val="04A0" w:firstRow="1" w:lastRow="0" w:firstColumn="1" w:lastColumn="0" w:noHBand="0" w:noVBand="1"/>
      </w:tblPr>
      <w:tblGrid>
        <w:gridCol w:w="5417"/>
        <w:gridCol w:w="1912"/>
        <w:gridCol w:w="1912"/>
        <w:gridCol w:w="1912"/>
        <w:gridCol w:w="1912"/>
        <w:gridCol w:w="1280"/>
      </w:tblGrid>
      <w:tr w:rsidR="00CD5A03" w:rsidRPr="00CD5A03" w14:paraId="7FFC1CD6" w14:textId="77777777" w:rsidTr="00CD5A03">
        <w:trPr>
          <w:trHeight w:val="420"/>
          <w:jc w:val="center"/>
        </w:trPr>
        <w:tc>
          <w:tcPr>
            <w:tcW w:w="5417" w:type="dxa"/>
            <w:tcBorders>
              <w:top w:val="nil"/>
              <w:left w:val="nil"/>
              <w:bottom w:val="nil"/>
              <w:right w:val="nil"/>
            </w:tcBorders>
            <w:shd w:val="clear" w:color="auto" w:fill="auto"/>
            <w:noWrap/>
            <w:vAlign w:val="bottom"/>
            <w:hideMark/>
          </w:tcPr>
          <w:p w14:paraId="7FFC1CD3" w14:textId="77777777" w:rsidR="00CD5A03" w:rsidRPr="00CD5A03" w:rsidRDefault="00CD5A03" w:rsidP="00CD5A03">
            <w:pPr>
              <w:spacing w:before="0" w:after="0"/>
              <w:ind w:left="0"/>
              <w:jc w:val="left"/>
              <w:rPr>
                <w:rFonts w:ascii="Calibri" w:hAnsi="Calibri" w:cs="Times New Roman"/>
                <w:color w:val="000000"/>
                <w:szCs w:val="22"/>
              </w:rPr>
            </w:pPr>
          </w:p>
        </w:tc>
        <w:tc>
          <w:tcPr>
            <w:tcW w:w="764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C1CD4" w14:textId="77777777" w:rsidR="00CD5A03" w:rsidRPr="00CD5A03" w:rsidRDefault="00CD5A03" w:rsidP="00CD5A03">
            <w:pPr>
              <w:spacing w:before="0" w:after="0"/>
              <w:ind w:left="0"/>
              <w:jc w:val="center"/>
              <w:rPr>
                <w:rFonts w:ascii="Calibri" w:hAnsi="Calibri" w:cs="Times New Roman"/>
                <w:b/>
                <w:bCs/>
                <w:color w:val="000000"/>
                <w:sz w:val="32"/>
                <w:szCs w:val="32"/>
              </w:rPr>
            </w:pPr>
            <w:r w:rsidRPr="00CD5A03">
              <w:rPr>
                <w:rFonts w:ascii="Calibri" w:hAnsi="Calibri" w:cs="Times New Roman"/>
                <w:b/>
                <w:bCs/>
                <w:color w:val="000000"/>
                <w:sz w:val="32"/>
                <w:szCs w:val="32"/>
              </w:rPr>
              <w:t>Catégorie</w:t>
            </w:r>
            <w:r>
              <w:rPr>
                <w:rFonts w:ascii="Calibri" w:hAnsi="Calibri" w:cs="Times New Roman"/>
                <w:b/>
                <w:bCs/>
                <w:color w:val="000000"/>
                <w:sz w:val="32"/>
                <w:szCs w:val="32"/>
              </w:rPr>
              <w:t>s</w:t>
            </w:r>
            <w:r w:rsidRPr="00CD5A03">
              <w:rPr>
                <w:rFonts w:ascii="Calibri" w:hAnsi="Calibri" w:cs="Times New Roman"/>
                <w:b/>
                <w:bCs/>
                <w:color w:val="000000"/>
                <w:sz w:val="32"/>
                <w:szCs w:val="32"/>
              </w:rPr>
              <w:t xml:space="preserve"> </w:t>
            </w:r>
            <w:r w:rsidR="00AB4E72" w:rsidRPr="00CD5A03">
              <w:rPr>
                <w:rFonts w:ascii="Calibri" w:hAnsi="Calibri" w:cs="Times New Roman"/>
                <w:b/>
                <w:bCs/>
                <w:color w:val="000000"/>
                <w:sz w:val="32"/>
                <w:szCs w:val="32"/>
              </w:rPr>
              <w:t>socio</w:t>
            </w:r>
            <w:r w:rsidR="00AB4E72">
              <w:rPr>
                <w:rFonts w:ascii="Calibri" w:hAnsi="Calibri" w:cs="Times New Roman"/>
                <w:b/>
                <w:bCs/>
                <w:color w:val="000000"/>
                <w:sz w:val="32"/>
                <w:szCs w:val="32"/>
              </w:rPr>
              <w:t>pr</w:t>
            </w:r>
            <w:r w:rsidR="00AB4E72" w:rsidRPr="00CD5A03">
              <w:rPr>
                <w:rFonts w:ascii="Calibri" w:hAnsi="Calibri" w:cs="Times New Roman"/>
                <w:b/>
                <w:bCs/>
                <w:color w:val="000000"/>
                <w:sz w:val="32"/>
                <w:szCs w:val="32"/>
              </w:rPr>
              <w:t>ofessionnelles</w:t>
            </w:r>
          </w:p>
        </w:tc>
        <w:tc>
          <w:tcPr>
            <w:tcW w:w="1280" w:type="dxa"/>
            <w:tcBorders>
              <w:top w:val="nil"/>
              <w:left w:val="nil"/>
              <w:bottom w:val="nil"/>
              <w:right w:val="nil"/>
            </w:tcBorders>
            <w:shd w:val="clear" w:color="auto" w:fill="auto"/>
            <w:noWrap/>
            <w:vAlign w:val="bottom"/>
            <w:hideMark/>
          </w:tcPr>
          <w:p w14:paraId="7FFC1CD5" w14:textId="77777777" w:rsidR="00CD5A03" w:rsidRPr="00CD5A03" w:rsidRDefault="00CD5A03" w:rsidP="00CD5A03">
            <w:pPr>
              <w:spacing w:before="0" w:after="0"/>
              <w:ind w:left="0"/>
              <w:jc w:val="left"/>
              <w:rPr>
                <w:rFonts w:ascii="Calibri" w:hAnsi="Calibri" w:cs="Times New Roman"/>
                <w:color w:val="000000"/>
                <w:szCs w:val="22"/>
              </w:rPr>
            </w:pPr>
          </w:p>
        </w:tc>
      </w:tr>
      <w:tr w:rsidR="00CD5A03" w:rsidRPr="00CD5A03" w14:paraId="7FFC1CDD" w14:textId="77777777" w:rsidTr="00CD5A03">
        <w:trPr>
          <w:trHeight w:val="1056"/>
          <w:jc w:val="center"/>
        </w:trPr>
        <w:tc>
          <w:tcPr>
            <w:tcW w:w="5417" w:type="dxa"/>
            <w:tcBorders>
              <w:top w:val="nil"/>
              <w:left w:val="nil"/>
              <w:bottom w:val="nil"/>
              <w:right w:val="nil"/>
            </w:tcBorders>
            <w:shd w:val="clear" w:color="auto" w:fill="auto"/>
            <w:vAlign w:val="center"/>
            <w:hideMark/>
          </w:tcPr>
          <w:p w14:paraId="7FFC1CD7" w14:textId="77777777" w:rsidR="00CD5A03" w:rsidRPr="00CD5A03" w:rsidRDefault="00CD5A03" w:rsidP="00CD5A03">
            <w:pPr>
              <w:spacing w:before="0" w:after="0"/>
              <w:ind w:left="0"/>
              <w:jc w:val="center"/>
              <w:rPr>
                <w:color w:val="000000"/>
                <w:sz w:val="18"/>
                <w:szCs w:val="18"/>
              </w:rPr>
            </w:pPr>
          </w:p>
        </w:tc>
        <w:tc>
          <w:tcPr>
            <w:tcW w:w="1912" w:type="dxa"/>
            <w:tcBorders>
              <w:top w:val="nil"/>
              <w:left w:val="single" w:sz="4" w:space="0" w:color="auto"/>
              <w:bottom w:val="single" w:sz="4" w:space="0" w:color="auto"/>
              <w:right w:val="single" w:sz="4" w:space="0" w:color="auto"/>
            </w:tcBorders>
            <w:shd w:val="clear" w:color="000000" w:fill="D8D8D8"/>
            <w:vAlign w:val="center"/>
            <w:hideMark/>
          </w:tcPr>
          <w:p w14:paraId="7FFC1CD8" w14:textId="77777777" w:rsidR="00CD5A03" w:rsidRPr="00EF1367" w:rsidRDefault="00CD5A03" w:rsidP="00CD5A03">
            <w:pPr>
              <w:spacing w:before="0" w:after="0"/>
              <w:ind w:left="0"/>
              <w:jc w:val="center"/>
              <w:rPr>
                <w:b/>
                <w:bCs/>
                <w:color w:val="000000"/>
                <w:sz w:val="18"/>
                <w:szCs w:val="18"/>
              </w:rPr>
            </w:pPr>
            <w:r w:rsidRPr="00EF1367">
              <w:rPr>
                <w:rFonts w:hint="eastAsia"/>
                <w:b/>
                <w:bCs/>
                <w:color w:val="000000"/>
                <w:sz w:val="18"/>
                <w:szCs w:val="18"/>
              </w:rPr>
              <w:t>Cadres et professions intellectuelles supérieures</w:t>
            </w:r>
          </w:p>
        </w:tc>
        <w:tc>
          <w:tcPr>
            <w:tcW w:w="1912" w:type="dxa"/>
            <w:tcBorders>
              <w:top w:val="nil"/>
              <w:left w:val="nil"/>
              <w:bottom w:val="single" w:sz="4" w:space="0" w:color="auto"/>
              <w:right w:val="single" w:sz="4" w:space="0" w:color="auto"/>
            </w:tcBorders>
            <w:shd w:val="clear" w:color="000000" w:fill="D8D8D8"/>
            <w:vAlign w:val="center"/>
            <w:hideMark/>
          </w:tcPr>
          <w:p w14:paraId="7FFC1CD9" w14:textId="77777777" w:rsidR="00CD5A03" w:rsidRPr="00CD5A03" w:rsidRDefault="00CD5A03" w:rsidP="00CD5A03">
            <w:pPr>
              <w:spacing w:before="0" w:after="0"/>
              <w:ind w:left="0"/>
              <w:jc w:val="center"/>
              <w:rPr>
                <w:b/>
                <w:bCs/>
                <w:color w:val="000000"/>
                <w:sz w:val="18"/>
                <w:szCs w:val="18"/>
              </w:rPr>
            </w:pPr>
            <w:r w:rsidRPr="00CD5A03">
              <w:rPr>
                <w:b/>
                <w:bCs/>
                <w:color w:val="000000"/>
                <w:sz w:val="18"/>
                <w:szCs w:val="18"/>
              </w:rPr>
              <w:t>Professions intermédiaires</w:t>
            </w:r>
          </w:p>
        </w:tc>
        <w:tc>
          <w:tcPr>
            <w:tcW w:w="1912" w:type="dxa"/>
            <w:tcBorders>
              <w:top w:val="nil"/>
              <w:left w:val="nil"/>
              <w:bottom w:val="single" w:sz="4" w:space="0" w:color="auto"/>
              <w:right w:val="single" w:sz="4" w:space="0" w:color="auto"/>
            </w:tcBorders>
            <w:shd w:val="clear" w:color="000000" w:fill="D8D8D8"/>
            <w:vAlign w:val="center"/>
            <w:hideMark/>
          </w:tcPr>
          <w:p w14:paraId="7FFC1CDA" w14:textId="77777777" w:rsidR="00CD5A03" w:rsidRPr="00CD5A03" w:rsidRDefault="00CD5A03" w:rsidP="00CD5A03">
            <w:pPr>
              <w:spacing w:before="0" w:after="0"/>
              <w:ind w:left="0"/>
              <w:jc w:val="center"/>
              <w:rPr>
                <w:b/>
                <w:bCs/>
                <w:color w:val="000000"/>
                <w:sz w:val="18"/>
                <w:szCs w:val="18"/>
              </w:rPr>
            </w:pPr>
            <w:r w:rsidRPr="00CD5A03">
              <w:rPr>
                <w:b/>
                <w:bCs/>
                <w:color w:val="000000"/>
                <w:sz w:val="18"/>
                <w:szCs w:val="18"/>
              </w:rPr>
              <w:t>Employés</w:t>
            </w:r>
          </w:p>
        </w:tc>
        <w:tc>
          <w:tcPr>
            <w:tcW w:w="1912" w:type="dxa"/>
            <w:tcBorders>
              <w:top w:val="nil"/>
              <w:left w:val="nil"/>
              <w:bottom w:val="single" w:sz="4" w:space="0" w:color="auto"/>
              <w:right w:val="single" w:sz="4" w:space="0" w:color="auto"/>
            </w:tcBorders>
            <w:shd w:val="clear" w:color="000000" w:fill="D8D8D8"/>
            <w:vAlign w:val="center"/>
            <w:hideMark/>
          </w:tcPr>
          <w:p w14:paraId="7FFC1CDB" w14:textId="77777777" w:rsidR="00CD5A03" w:rsidRPr="00CD5A03" w:rsidRDefault="00CD5A03" w:rsidP="00CD5A03">
            <w:pPr>
              <w:spacing w:before="0" w:after="0"/>
              <w:ind w:left="0"/>
              <w:jc w:val="center"/>
              <w:rPr>
                <w:b/>
                <w:bCs/>
                <w:color w:val="000000"/>
                <w:sz w:val="18"/>
                <w:szCs w:val="18"/>
              </w:rPr>
            </w:pPr>
            <w:r w:rsidRPr="00CD5A03">
              <w:rPr>
                <w:b/>
                <w:bCs/>
                <w:color w:val="000000"/>
                <w:sz w:val="18"/>
                <w:szCs w:val="18"/>
              </w:rPr>
              <w:t>Ouvriers qualifiés et non qualifiés</w:t>
            </w:r>
          </w:p>
        </w:tc>
        <w:tc>
          <w:tcPr>
            <w:tcW w:w="1280" w:type="dxa"/>
            <w:tcBorders>
              <w:top w:val="single" w:sz="4" w:space="0" w:color="auto"/>
              <w:left w:val="nil"/>
              <w:bottom w:val="single" w:sz="4" w:space="0" w:color="auto"/>
              <w:right w:val="single" w:sz="4" w:space="0" w:color="auto"/>
            </w:tcBorders>
            <w:shd w:val="clear" w:color="000000" w:fill="BCD6EE"/>
            <w:vAlign w:val="center"/>
            <w:hideMark/>
          </w:tcPr>
          <w:p w14:paraId="7FFC1CDC" w14:textId="77777777" w:rsidR="00CD5A03" w:rsidRPr="00CD5A03" w:rsidRDefault="00CD5A03" w:rsidP="00CD5A03">
            <w:pPr>
              <w:spacing w:before="0" w:after="0"/>
              <w:ind w:left="0"/>
              <w:jc w:val="center"/>
              <w:rPr>
                <w:b/>
                <w:bCs/>
                <w:color w:val="000000"/>
                <w:sz w:val="18"/>
                <w:szCs w:val="18"/>
              </w:rPr>
            </w:pPr>
            <w:r w:rsidRPr="00CD5A03">
              <w:rPr>
                <w:b/>
                <w:bCs/>
                <w:color w:val="000000"/>
                <w:sz w:val="18"/>
                <w:szCs w:val="18"/>
              </w:rPr>
              <w:t>TOTAL</w:t>
            </w:r>
          </w:p>
        </w:tc>
      </w:tr>
      <w:tr w:rsidR="00CD5A03" w:rsidRPr="00CD5A03" w14:paraId="7FFC1CE5" w14:textId="77777777" w:rsidTr="00CD5A03">
        <w:trPr>
          <w:trHeight w:val="1104"/>
          <w:jc w:val="center"/>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C1CDE" w14:textId="77777777"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Section J : </w:t>
            </w:r>
          </w:p>
          <w:p w14:paraId="7FFC1CDF" w14:textId="77777777"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Information et communication</w:t>
            </w:r>
          </w:p>
        </w:tc>
        <w:tc>
          <w:tcPr>
            <w:tcW w:w="1912" w:type="dxa"/>
            <w:tcBorders>
              <w:top w:val="nil"/>
              <w:left w:val="nil"/>
              <w:bottom w:val="single" w:sz="4" w:space="0" w:color="auto"/>
              <w:right w:val="single" w:sz="4" w:space="0" w:color="auto"/>
            </w:tcBorders>
            <w:shd w:val="clear" w:color="auto" w:fill="auto"/>
            <w:vAlign w:val="center"/>
            <w:hideMark/>
          </w:tcPr>
          <w:p w14:paraId="7FFC1CE0" w14:textId="77777777" w:rsidR="00CD5A03" w:rsidRPr="00CD5A03" w:rsidRDefault="00CD5A03" w:rsidP="00CD5A03">
            <w:pPr>
              <w:spacing w:before="0" w:after="0"/>
              <w:ind w:left="0"/>
              <w:jc w:val="left"/>
              <w:rPr>
                <w:color w:val="000000"/>
                <w:sz w:val="20"/>
              </w:rPr>
            </w:pPr>
            <w:r w:rsidRPr="00CD5A03">
              <w:rPr>
                <w:color w:val="000000"/>
                <w:sz w:val="20"/>
              </w:rPr>
              <w:t xml:space="preserve">              546 755   </w:t>
            </w:r>
          </w:p>
        </w:tc>
        <w:tc>
          <w:tcPr>
            <w:tcW w:w="1912" w:type="dxa"/>
            <w:tcBorders>
              <w:top w:val="nil"/>
              <w:left w:val="nil"/>
              <w:bottom w:val="single" w:sz="4" w:space="0" w:color="auto"/>
              <w:right w:val="single" w:sz="4" w:space="0" w:color="auto"/>
            </w:tcBorders>
            <w:shd w:val="clear" w:color="auto" w:fill="auto"/>
            <w:vAlign w:val="center"/>
            <w:hideMark/>
          </w:tcPr>
          <w:p w14:paraId="7FFC1CE1" w14:textId="77777777" w:rsidR="00CD5A03" w:rsidRPr="00CD5A03" w:rsidRDefault="00CD5A03" w:rsidP="00CD5A03">
            <w:pPr>
              <w:spacing w:before="0" w:after="0"/>
              <w:ind w:left="0"/>
              <w:jc w:val="left"/>
              <w:rPr>
                <w:color w:val="000000"/>
                <w:sz w:val="20"/>
              </w:rPr>
            </w:pPr>
            <w:r w:rsidRPr="00CD5A03">
              <w:rPr>
                <w:color w:val="000000"/>
                <w:sz w:val="20"/>
              </w:rPr>
              <w:t xml:space="preserve">              196 348   </w:t>
            </w:r>
          </w:p>
        </w:tc>
        <w:tc>
          <w:tcPr>
            <w:tcW w:w="1912" w:type="dxa"/>
            <w:tcBorders>
              <w:top w:val="nil"/>
              <w:left w:val="nil"/>
              <w:bottom w:val="single" w:sz="4" w:space="0" w:color="auto"/>
              <w:right w:val="single" w:sz="4" w:space="0" w:color="auto"/>
            </w:tcBorders>
            <w:shd w:val="clear" w:color="auto" w:fill="auto"/>
            <w:vAlign w:val="center"/>
            <w:hideMark/>
          </w:tcPr>
          <w:p w14:paraId="7FFC1CE2" w14:textId="77777777" w:rsidR="00CD5A03" w:rsidRPr="00CD5A03" w:rsidRDefault="00CD5A03" w:rsidP="00CD5A03">
            <w:pPr>
              <w:spacing w:before="0" w:after="0"/>
              <w:ind w:left="0"/>
              <w:jc w:val="left"/>
              <w:rPr>
                <w:color w:val="000000"/>
                <w:sz w:val="20"/>
              </w:rPr>
            </w:pPr>
            <w:r w:rsidRPr="00CD5A03">
              <w:rPr>
                <w:color w:val="000000"/>
                <w:sz w:val="20"/>
              </w:rPr>
              <w:t xml:space="preserve">              134 099   </w:t>
            </w:r>
          </w:p>
        </w:tc>
        <w:tc>
          <w:tcPr>
            <w:tcW w:w="1912" w:type="dxa"/>
            <w:tcBorders>
              <w:top w:val="nil"/>
              <w:left w:val="nil"/>
              <w:bottom w:val="single" w:sz="4" w:space="0" w:color="auto"/>
              <w:right w:val="single" w:sz="4" w:space="0" w:color="auto"/>
            </w:tcBorders>
            <w:shd w:val="clear" w:color="auto" w:fill="auto"/>
            <w:vAlign w:val="center"/>
            <w:hideMark/>
          </w:tcPr>
          <w:p w14:paraId="7FFC1CE3" w14:textId="77777777" w:rsidR="00CD5A03" w:rsidRPr="00CD5A03" w:rsidRDefault="00CD5A03" w:rsidP="00CD5A03">
            <w:pPr>
              <w:spacing w:before="0" w:after="0"/>
              <w:ind w:left="0"/>
              <w:jc w:val="left"/>
              <w:rPr>
                <w:color w:val="000000"/>
                <w:sz w:val="20"/>
              </w:rPr>
            </w:pPr>
            <w:r w:rsidRPr="00CD5A03">
              <w:rPr>
                <w:color w:val="000000"/>
                <w:sz w:val="20"/>
              </w:rPr>
              <w:t xml:space="preserve">                34 065   </w:t>
            </w:r>
          </w:p>
        </w:tc>
        <w:tc>
          <w:tcPr>
            <w:tcW w:w="1280" w:type="dxa"/>
            <w:tcBorders>
              <w:top w:val="nil"/>
              <w:left w:val="nil"/>
              <w:bottom w:val="single" w:sz="4" w:space="0" w:color="auto"/>
              <w:right w:val="single" w:sz="4" w:space="0" w:color="auto"/>
            </w:tcBorders>
            <w:shd w:val="clear" w:color="000000" w:fill="BCD6EE"/>
            <w:vAlign w:val="center"/>
            <w:hideMark/>
          </w:tcPr>
          <w:p w14:paraId="7FFC1CE4" w14:textId="77777777" w:rsidR="00CD5A03" w:rsidRPr="00CD5A03" w:rsidRDefault="00CD5A03" w:rsidP="00CD5A03">
            <w:pPr>
              <w:spacing w:before="0" w:after="0"/>
              <w:ind w:left="0"/>
              <w:jc w:val="left"/>
              <w:rPr>
                <w:color w:val="000000"/>
                <w:sz w:val="20"/>
              </w:rPr>
            </w:pPr>
            <w:r w:rsidRPr="00CD5A03">
              <w:rPr>
                <w:color w:val="000000"/>
                <w:sz w:val="20"/>
              </w:rPr>
              <w:t xml:space="preserve">     911 267   </w:t>
            </w:r>
          </w:p>
        </w:tc>
      </w:tr>
      <w:tr w:rsidR="00CD5A03" w:rsidRPr="00CD5A03" w14:paraId="7FFC1CED" w14:textId="77777777"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14:paraId="7FFC1CE6" w14:textId="77777777"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Division 62 : </w:t>
            </w:r>
          </w:p>
          <w:p w14:paraId="7FFC1CE7" w14:textId="77777777"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Programmation, conseil et autres activités informatiques</w:t>
            </w:r>
          </w:p>
        </w:tc>
        <w:tc>
          <w:tcPr>
            <w:tcW w:w="1912" w:type="dxa"/>
            <w:tcBorders>
              <w:top w:val="nil"/>
              <w:left w:val="nil"/>
              <w:bottom w:val="single" w:sz="4" w:space="0" w:color="auto"/>
              <w:right w:val="single" w:sz="4" w:space="0" w:color="auto"/>
            </w:tcBorders>
            <w:shd w:val="clear" w:color="auto" w:fill="auto"/>
            <w:vAlign w:val="center"/>
            <w:hideMark/>
          </w:tcPr>
          <w:p w14:paraId="7FFC1CE8" w14:textId="77777777" w:rsidR="00CD5A03" w:rsidRPr="00CD5A03" w:rsidRDefault="00CD5A03" w:rsidP="00CD5A03">
            <w:pPr>
              <w:spacing w:before="0" w:after="0"/>
              <w:ind w:left="0"/>
              <w:jc w:val="left"/>
              <w:rPr>
                <w:color w:val="000000"/>
                <w:sz w:val="20"/>
              </w:rPr>
            </w:pPr>
            <w:r w:rsidRPr="00CD5A03">
              <w:rPr>
                <w:color w:val="000000"/>
                <w:sz w:val="20"/>
              </w:rPr>
              <w:t xml:space="preserve">              278 464   </w:t>
            </w:r>
          </w:p>
        </w:tc>
        <w:tc>
          <w:tcPr>
            <w:tcW w:w="1912" w:type="dxa"/>
            <w:tcBorders>
              <w:top w:val="nil"/>
              <w:left w:val="nil"/>
              <w:bottom w:val="single" w:sz="4" w:space="0" w:color="auto"/>
              <w:right w:val="single" w:sz="4" w:space="0" w:color="auto"/>
            </w:tcBorders>
            <w:shd w:val="clear" w:color="auto" w:fill="auto"/>
            <w:vAlign w:val="center"/>
            <w:hideMark/>
          </w:tcPr>
          <w:p w14:paraId="7FFC1CE9" w14:textId="77777777" w:rsidR="00CD5A03" w:rsidRPr="00CD5A03" w:rsidRDefault="00CD5A03" w:rsidP="00CD5A03">
            <w:pPr>
              <w:spacing w:before="0" w:after="0"/>
              <w:ind w:left="0"/>
              <w:jc w:val="left"/>
              <w:rPr>
                <w:color w:val="000000"/>
                <w:sz w:val="20"/>
              </w:rPr>
            </w:pPr>
            <w:r w:rsidRPr="00CD5A03">
              <w:rPr>
                <w:color w:val="000000"/>
                <w:sz w:val="20"/>
              </w:rPr>
              <w:t xml:space="preserve">                67 711   </w:t>
            </w:r>
          </w:p>
        </w:tc>
        <w:tc>
          <w:tcPr>
            <w:tcW w:w="1912" w:type="dxa"/>
            <w:tcBorders>
              <w:top w:val="nil"/>
              <w:left w:val="nil"/>
              <w:bottom w:val="single" w:sz="4" w:space="0" w:color="auto"/>
              <w:right w:val="single" w:sz="4" w:space="0" w:color="auto"/>
            </w:tcBorders>
            <w:shd w:val="clear" w:color="auto" w:fill="auto"/>
            <w:vAlign w:val="center"/>
            <w:hideMark/>
          </w:tcPr>
          <w:p w14:paraId="7FFC1CEA" w14:textId="77777777" w:rsidR="00CD5A03" w:rsidRPr="00CD5A03" w:rsidRDefault="00CD5A03" w:rsidP="00CD5A03">
            <w:pPr>
              <w:spacing w:before="0" w:after="0"/>
              <w:ind w:left="0"/>
              <w:jc w:val="left"/>
              <w:rPr>
                <w:color w:val="000000"/>
                <w:sz w:val="20"/>
              </w:rPr>
            </w:pPr>
            <w:r w:rsidRPr="00CD5A03">
              <w:rPr>
                <w:color w:val="000000"/>
                <w:sz w:val="20"/>
              </w:rPr>
              <w:t xml:space="preserve">                26 647   </w:t>
            </w:r>
          </w:p>
        </w:tc>
        <w:tc>
          <w:tcPr>
            <w:tcW w:w="1912" w:type="dxa"/>
            <w:tcBorders>
              <w:top w:val="nil"/>
              <w:left w:val="nil"/>
              <w:bottom w:val="single" w:sz="4" w:space="0" w:color="auto"/>
              <w:right w:val="single" w:sz="4" w:space="0" w:color="auto"/>
            </w:tcBorders>
            <w:shd w:val="clear" w:color="auto" w:fill="auto"/>
            <w:vAlign w:val="center"/>
            <w:hideMark/>
          </w:tcPr>
          <w:p w14:paraId="7FFC1CEB" w14:textId="77777777" w:rsidR="00CD5A03" w:rsidRPr="00CD5A03" w:rsidRDefault="00CD5A03" w:rsidP="00CD5A03">
            <w:pPr>
              <w:spacing w:before="0" w:after="0"/>
              <w:ind w:left="0"/>
              <w:jc w:val="left"/>
              <w:rPr>
                <w:color w:val="000000"/>
                <w:sz w:val="20"/>
              </w:rPr>
            </w:pPr>
            <w:r w:rsidRPr="00CD5A03">
              <w:rPr>
                <w:color w:val="000000"/>
                <w:sz w:val="20"/>
              </w:rPr>
              <w:t xml:space="preserve">                 2 427   </w:t>
            </w:r>
          </w:p>
        </w:tc>
        <w:tc>
          <w:tcPr>
            <w:tcW w:w="1280" w:type="dxa"/>
            <w:tcBorders>
              <w:top w:val="nil"/>
              <w:left w:val="nil"/>
              <w:bottom w:val="single" w:sz="4" w:space="0" w:color="auto"/>
              <w:right w:val="single" w:sz="4" w:space="0" w:color="auto"/>
            </w:tcBorders>
            <w:shd w:val="clear" w:color="000000" w:fill="BCD6EE"/>
            <w:vAlign w:val="center"/>
            <w:hideMark/>
          </w:tcPr>
          <w:p w14:paraId="7FFC1CEC" w14:textId="77777777" w:rsidR="00CD5A03" w:rsidRPr="00CD5A03" w:rsidRDefault="00CD5A03" w:rsidP="00CD5A03">
            <w:pPr>
              <w:spacing w:before="0" w:after="0"/>
              <w:ind w:left="0"/>
              <w:jc w:val="left"/>
              <w:rPr>
                <w:color w:val="000000"/>
                <w:sz w:val="20"/>
              </w:rPr>
            </w:pPr>
            <w:r w:rsidRPr="00CD5A03">
              <w:rPr>
                <w:color w:val="000000"/>
                <w:sz w:val="20"/>
              </w:rPr>
              <w:t xml:space="preserve">     375 249   </w:t>
            </w:r>
          </w:p>
        </w:tc>
      </w:tr>
      <w:tr w:rsidR="00CD5A03" w:rsidRPr="00CD5A03" w14:paraId="7FFC1CF5" w14:textId="77777777"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14:paraId="7FFC1CEE" w14:textId="77777777"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Groupe 620 : </w:t>
            </w:r>
          </w:p>
          <w:p w14:paraId="7FFC1CEF" w14:textId="77777777"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Programmation, conseil et autres activités informatiques</w:t>
            </w:r>
          </w:p>
        </w:tc>
        <w:tc>
          <w:tcPr>
            <w:tcW w:w="1912" w:type="dxa"/>
            <w:tcBorders>
              <w:top w:val="nil"/>
              <w:left w:val="nil"/>
              <w:bottom w:val="single" w:sz="4" w:space="0" w:color="auto"/>
              <w:right w:val="single" w:sz="4" w:space="0" w:color="auto"/>
            </w:tcBorders>
            <w:shd w:val="clear" w:color="auto" w:fill="auto"/>
            <w:vAlign w:val="center"/>
            <w:hideMark/>
          </w:tcPr>
          <w:p w14:paraId="7FFC1CF0" w14:textId="77777777" w:rsidR="00CD5A03" w:rsidRPr="00CD5A03" w:rsidRDefault="00CD5A03" w:rsidP="00CD5A03">
            <w:pPr>
              <w:spacing w:before="0" w:after="0"/>
              <w:ind w:left="0"/>
              <w:jc w:val="left"/>
              <w:rPr>
                <w:color w:val="000000"/>
                <w:sz w:val="20"/>
              </w:rPr>
            </w:pPr>
            <w:r w:rsidRPr="00CD5A03">
              <w:rPr>
                <w:color w:val="000000"/>
                <w:sz w:val="20"/>
              </w:rPr>
              <w:t xml:space="preserve">              278 464   </w:t>
            </w:r>
          </w:p>
        </w:tc>
        <w:tc>
          <w:tcPr>
            <w:tcW w:w="1912" w:type="dxa"/>
            <w:tcBorders>
              <w:top w:val="nil"/>
              <w:left w:val="nil"/>
              <w:bottom w:val="single" w:sz="4" w:space="0" w:color="auto"/>
              <w:right w:val="single" w:sz="4" w:space="0" w:color="auto"/>
            </w:tcBorders>
            <w:shd w:val="clear" w:color="auto" w:fill="auto"/>
            <w:vAlign w:val="center"/>
            <w:hideMark/>
          </w:tcPr>
          <w:p w14:paraId="7FFC1CF1" w14:textId="77777777" w:rsidR="00CD5A03" w:rsidRPr="00CD5A03" w:rsidRDefault="00CD5A03" w:rsidP="00CD5A03">
            <w:pPr>
              <w:spacing w:before="0" w:after="0"/>
              <w:ind w:left="0"/>
              <w:jc w:val="left"/>
              <w:rPr>
                <w:color w:val="000000"/>
                <w:sz w:val="20"/>
              </w:rPr>
            </w:pPr>
            <w:r w:rsidRPr="00CD5A03">
              <w:rPr>
                <w:color w:val="000000"/>
                <w:sz w:val="20"/>
              </w:rPr>
              <w:t xml:space="preserve">                67 711   </w:t>
            </w:r>
          </w:p>
        </w:tc>
        <w:tc>
          <w:tcPr>
            <w:tcW w:w="1912" w:type="dxa"/>
            <w:tcBorders>
              <w:top w:val="nil"/>
              <w:left w:val="nil"/>
              <w:bottom w:val="single" w:sz="4" w:space="0" w:color="auto"/>
              <w:right w:val="single" w:sz="4" w:space="0" w:color="auto"/>
            </w:tcBorders>
            <w:shd w:val="clear" w:color="auto" w:fill="auto"/>
            <w:vAlign w:val="center"/>
            <w:hideMark/>
          </w:tcPr>
          <w:p w14:paraId="7FFC1CF2" w14:textId="77777777" w:rsidR="00CD5A03" w:rsidRPr="00CD5A03" w:rsidRDefault="00CD5A03" w:rsidP="00CD5A03">
            <w:pPr>
              <w:spacing w:before="0" w:after="0"/>
              <w:ind w:left="0"/>
              <w:jc w:val="left"/>
              <w:rPr>
                <w:color w:val="000000"/>
                <w:sz w:val="20"/>
              </w:rPr>
            </w:pPr>
            <w:r w:rsidRPr="00CD5A03">
              <w:rPr>
                <w:color w:val="000000"/>
                <w:sz w:val="20"/>
              </w:rPr>
              <w:t xml:space="preserve">                26 647   </w:t>
            </w:r>
          </w:p>
        </w:tc>
        <w:tc>
          <w:tcPr>
            <w:tcW w:w="1912" w:type="dxa"/>
            <w:tcBorders>
              <w:top w:val="nil"/>
              <w:left w:val="nil"/>
              <w:bottom w:val="single" w:sz="4" w:space="0" w:color="auto"/>
              <w:right w:val="single" w:sz="4" w:space="0" w:color="auto"/>
            </w:tcBorders>
            <w:shd w:val="clear" w:color="auto" w:fill="auto"/>
            <w:vAlign w:val="center"/>
            <w:hideMark/>
          </w:tcPr>
          <w:p w14:paraId="7FFC1CF3" w14:textId="77777777" w:rsidR="00CD5A03" w:rsidRPr="00CD5A03" w:rsidRDefault="00CD5A03" w:rsidP="00CD5A03">
            <w:pPr>
              <w:spacing w:before="0" w:after="0"/>
              <w:ind w:left="0"/>
              <w:jc w:val="left"/>
              <w:rPr>
                <w:color w:val="000000"/>
                <w:sz w:val="20"/>
              </w:rPr>
            </w:pPr>
            <w:r w:rsidRPr="00CD5A03">
              <w:rPr>
                <w:color w:val="000000"/>
                <w:sz w:val="20"/>
              </w:rPr>
              <w:t xml:space="preserve">                 2 427   </w:t>
            </w:r>
          </w:p>
        </w:tc>
        <w:tc>
          <w:tcPr>
            <w:tcW w:w="1280" w:type="dxa"/>
            <w:tcBorders>
              <w:top w:val="nil"/>
              <w:left w:val="nil"/>
              <w:bottom w:val="single" w:sz="4" w:space="0" w:color="auto"/>
              <w:right w:val="single" w:sz="4" w:space="0" w:color="auto"/>
            </w:tcBorders>
            <w:shd w:val="clear" w:color="000000" w:fill="BCD6EE"/>
            <w:vAlign w:val="center"/>
            <w:hideMark/>
          </w:tcPr>
          <w:p w14:paraId="7FFC1CF4" w14:textId="77777777" w:rsidR="00CD5A03" w:rsidRPr="00CD5A03" w:rsidRDefault="00CD5A03" w:rsidP="00CD5A03">
            <w:pPr>
              <w:spacing w:before="0" w:after="0"/>
              <w:ind w:left="0"/>
              <w:jc w:val="left"/>
              <w:rPr>
                <w:color w:val="000000"/>
                <w:sz w:val="20"/>
              </w:rPr>
            </w:pPr>
            <w:r w:rsidRPr="00CD5A03">
              <w:rPr>
                <w:color w:val="000000"/>
                <w:sz w:val="20"/>
              </w:rPr>
              <w:t xml:space="preserve">     375 249   </w:t>
            </w:r>
          </w:p>
        </w:tc>
      </w:tr>
      <w:tr w:rsidR="00CD5A03" w:rsidRPr="00CD5A03" w14:paraId="7FFC1CFD" w14:textId="77777777"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14:paraId="7FFC1CF6" w14:textId="77777777"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Classe 6202 : </w:t>
            </w:r>
          </w:p>
          <w:p w14:paraId="7FFC1CF7" w14:textId="77777777"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Conseil informatique</w:t>
            </w:r>
          </w:p>
        </w:tc>
        <w:tc>
          <w:tcPr>
            <w:tcW w:w="1912" w:type="dxa"/>
            <w:tcBorders>
              <w:top w:val="nil"/>
              <w:left w:val="nil"/>
              <w:bottom w:val="single" w:sz="4" w:space="0" w:color="auto"/>
              <w:right w:val="single" w:sz="4" w:space="0" w:color="auto"/>
            </w:tcBorders>
            <w:shd w:val="clear" w:color="auto" w:fill="auto"/>
            <w:vAlign w:val="center"/>
            <w:hideMark/>
          </w:tcPr>
          <w:p w14:paraId="7FFC1CF8" w14:textId="77777777" w:rsidR="00CD5A03" w:rsidRPr="00CD5A03" w:rsidRDefault="00CD5A03" w:rsidP="00CD5A03">
            <w:pPr>
              <w:spacing w:before="0" w:after="0"/>
              <w:ind w:left="0"/>
              <w:jc w:val="left"/>
              <w:rPr>
                <w:color w:val="000000"/>
                <w:sz w:val="20"/>
              </w:rPr>
            </w:pPr>
            <w:r w:rsidRPr="00CD5A03">
              <w:rPr>
                <w:color w:val="000000"/>
                <w:sz w:val="20"/>
              </w:rPr>
              <w:t xml:space="preserve">              216 504   </w:t>
            </w:r>
          </w:p>
        </w:tc>
        <w:tc>
          <w:tcPr>
            <w:tcW w:w="1912" w:type="dxa"/>
            <w:tcBorders>
              <w:top w:val="nil"/>
              <w:left w:val="nil"/>
              <w:bottom w:val="single" w:sz="4" w:space="0" w:color="auto"/>
              <w:right w:val="single" w:sz="4" w:space="0" w:color="auto"/>
            </w:tcBorders>
            <w:shd w:val="clear" w:color="auto" w:fill="auto"/>
            <w:vAlign w:val="center"/>
            <w:hideMark/>
          </w:tcPr>
          <w:p w14:paraId="7FFC1CF9" w14:textId="77777777" w:rsidR="00CD5A03" w:rsidRPr="00CD5A03" w:rsidRDefault="00CD5A03" w:rsidP="00CD5A03">
            <w:pPr>
              <w:spacing w:before="0" w:after="0"/>
              <w:ind w:left="0"/>
              <w:jc w:val="left"/>
              <w:rPr>
                <w:color w:val="000000"/>
                <w:sz w:val="20"/>
              </w:rPr>
            </w:pPr>
            <w:r w:rsidRPr="00CD5A03">
              <w:rPr>
                <w:color w:val="000000"/>
                <w:sz w:val="20"/>
              </w:rPr>
              <w:t xml:space="preserve">                37 151   </w:t>
            </w:r>
          </w:p>
        </w:tc>
        <w:tc>
          <w:tcPr>
            <w:tcW w:w="1912" w:type="dxa"/>
            <w:tcBorders>
              <w:top w:val="nil"/>
              <w:left w:val="nil"/>
              <w:bottom w:val="single" w:sz="4" w:space="0" w:color="auto"/>
              <w:right w:val="single" w:sz="4" w:space="0" w:color="auto"/>
            </w:tcBorders>
            <w:shd w:val="clear" w:color="auto" w:fill="auto"/>
            <w:vAlign w:val="center"/>
            <w:hideMark/>
          </w:tcPr>
          <w:p w14:paraId="7FFC1CFA" w14:textId="77777777" w:rsidR="00CD5A03" w:rsidRPr="00CD5A03" w:rsidRDefault="00CD5A03" w:rsidP="00CD5A03">
            <w:pPr>
              <w:spacing w:before="0" w:after="0"/>
              <w:ind w:left="0"/>
              <w:jc w:val="left"/>
              <w:rPr>
                <w:color w:val="000000"/>
                <w:sz w:val="20"/>
              </w:rPr>
            </w:pPr>
            <w:r w:rsidRPr="00CD5A03">
              <w:rPr>
                <w:color w:val="000000"/>
                <w:sz w:val="20"/>
              </w:rPr>
              <w:t xml:space="preserve">                16 043   </w:t>
            </w:r>
          </w:p>
        </w:tc>
        <w:tc>
          <w:tcPr>
            <w:tcW w:w="1912" w:type="dxa"/>
            <w:tcBorders>
              <w:top w:val="nil"/>
              <w:left w:val="nil"/>
              <w:bottom w:val="single" w:sz="4" w:space="0" w:color="auto"/>
              <w:right w:val="single" w:sz="4" w:space="0" w:color="auto"/>
            </w:tcBorders>
            <w:shd w:val="clear" w:color="auto" w:fill="auto"/>
            <w:vAlign w:val="center"/>
            <w:hideMark/>
          </w:tcPr>
          <w:p w14:paraId="7FFC1CFB" w14:textId="77777777" w:rsidR="00CD5A03" w:rsidRPr="00CD5A03" w:rsidRDefault="00CD5A03" w:rsidP="00CD5A03">
            <w:pPr>
              <w:spacing w:before="0" w:after="0"/>
              <w:ind w:left="0"/>
              <w:jc w:val="left"/>
              <w:rPr>
                <w:color w:val="000000"/>
                <w:sz w:val="20"/>
              </w:rPr>
            </w:pPr>
            <w:r w:rsidRPr="00CD5A03">
              <w:rPr>
                <w:color w:val="000000"/>
                <w:sz w:val="20"/>
              </w:rPr>
              <w:t xml:space="preserve">                 1 313   </w:t>
            </w:r>
          </w:p>
        </w:tc>
        <w:tc>
          <w:tcPr>
            <w:tcW w:w="1280" w:type="dxa"/>
            <w:tcBorders>
              <w:top w:val="nil"/>
              <w:left w:val="nil"/>
              <w:bottom w:val="single" w:sz="4" w:space="0" w:color="auto"/>
              <w:right w:val="single" w:sz="4" w:space="0" w:color="auto"/>
            </w:tcBorders>
            <w:shd w:val="clear" w:color="000000" w:fill="BCD6EE"/>
            <w:vAlign w:val="center"/>
            <w:hideMark/>
          </w:tcPr>
          <w:p w14:paraId="7FFC1CFC" w14:textId="77777777" w:rsidR="00CD5A03" w:rsidRPr="00CD5A03" w:rsidRDefault="00CD5A03" w:rsidP="00CD5A03">
            <w:pPr>
              <w:spacing w:before="0" w:after="0"/>
              <w:ind w:left="0"/>
              <w:jc w:val="left"/>
              <w:rPr>
                <w:color w:val="000000"/>
                <w:sz w:val="20"/>
              </w:rPr>
            </w:pPr>
            <w:r w:rsidRPr="00CD5A03">
              <w:rPr>
                <w:color w:val="000000"/>
                <w:sz w:val="20"/>
              </w:rPr>
              <w:t xml:space="preserve">     271 011   </w:t>
            </w:r>
          </w:p>
        </w:tc>
      </w:tr>
      <w:tr w:rsidR="00CD5A03" w:rsidRPr="00CD5A03" w14:paraId="7FFC1D05" w14:textId="77777777"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14:paraId="7FFC1CFE" w14:textId="77777777" w:rsidR="00CD5A03" w:rsidRPr="00EF1367" w:rsidRDefault="00AB4E72" w:rsidP="00CD5A03">
            <w:pPr>
              <w:spacing w:before="0" w:after="0"/>
              <w:ind w:left="0"/>
              <w:jc w:val="left"/>
              <w:rPr>
                <w:rFonts w:ascii="Arial Unicode MS" w:eastAsia="Arial Unicode MS" w:hAnsi="Arial Unicode MS" w:cs="Arial Unicode MS"/>
                <w:b/>
                <w:bCs/>
                <w:color w:val="000000"/>
                <w:sz w:val="20"/>
              </w:rPr>
            </w:pPr>
            <w:r>
              <w:rPr>
                <w:rFonts w:ascii="Arial Unicode MS" w:eastAsia="Arial Unicode MS" w:hAnsi="Arial Unicode MS" w:cs="Arial Unicode MS"/>
                <w:b/>
                <w:bCs/>
                <w:color w:val="000000"/>
                <w:sz w:val="20"/>
              </w:rPr>
              <w:t>Sous-c</w:t>
            </w:r>
            <w:r w:rsidR="00CD5A03" w:rsidRPr="00EF1367">
              <w:rPr>
                <w:rFonts w:ascii="Arial Unicode MS" w:eastAsia="Arial Unicode MS" w:hAnsi="Arial Unicode MS" w:cs="Arial Unicode MS"/>
                <w:b/>
                <w:bCs/>
                <w:color w:val="000000"/>
                <w:sz w:val="20"/>
              </w:rPr>
              <w:t xml:space="preserve">lasse 6202A : </w:t>
            </w:r>
          </w:p>
          <w:p w14:paraId="7FFC1CFF" w14:textId="77777777" w:rsidR="00CD5A03" w:rsidRPr="00CD5A03" w:rsidRDefault="00CD5A03" w:rsidP="00CD5A03">
            <w:pPr>
              <w:spacing w:before="0" w:after="0"/>
              <w:ind w:left="0"/>
              <w:jc w:val="left"/>
              <w:rPr>
                <w:b/>
                <w:bCs/>
                <w:color w:val="000000"/>
                <w:sz w:val="20"/>
              </w:rPr>
            </w:pPr>
            <w:r w:rsidRPr="00EF1367">
              <w:rPr>
                <w:rFonts w:ascii="Arial Unicode MS" w:eastAsia="Arial Unicode MS" w:hAnsi="Arial Unicode MS" w:cs="Arial Unicode MS"/>
                <w:b/>
                <w:bCs/>
                <w:color w:val="000000"/>
                <w:sz w:val="20"/>
              </w:rPr>
              <w:t>Conseil en systèmes et logiciels informatiques</w:t>
            </w:r>
          </w:p>
        </w:tc>
        <w:tc>
          <w:tcPr>
            <w:tcW w:w="1912" w:type="dxa"/>
            <w:tcBorders>
              <w:top w:val="nil"/>
              <w:left w:val="nil"/>
              <w:bottom w:val="single" w:sz="4" w:space="0" w:color="auto"/>
              <w:right w:val="single" w:sz="4" w:space="0" w:color="auto"/>
            </w:tcBorders>
            <w:shd w:val="clear" w:color="auto" w:fill="auto"/>
            <w:vAlign w:val="center"/>
            <w:hideMark/>
          </w:tcPr>
          <w:p w14:paraId="7FFC1D00" w14:textId="77777777" w:rsidR="00CD5A03" w:rsidRPr="00CD5A03" w:rsidRDefault="00CD5A03" w:rsidP="00CD5A03">
            <w:pPr>
              <w:spacing w:before="0" w:after="0"/>
              <w:ind w:left="0"/>
              <w:jc w:val="left"/>
              <w:rPr>
                <w:color w:val="000000"/>
                <w:sz w:val="20"/>
              </w:rPr>
            </w:pPr>
            <w:r w:rsidRPr="00CD5A03">
              <w:rPr>
                <w:color w:val="000000"/>
                <w:sz w:val="20"/>
              </w:rPr>
              <w:t xml:space="preserve">              209 431   </w:t>
            </w:r>
          </w:p>
        </w:tc>
        <w:tc>
          <w:tcPr>
            <w:tcW w:w="1912" w:type="dxa"/>
            <w:tcBorders>
              <w:top w:val="nil"/>
              <w:left w:val="nil"/>
              <w:bottom w:val="single" w:sz="4" w:space="0" w:color="auto"/>
              <w:right w:val="single" w:sz="4" w:space="0" w:color="auto"/>
            </w:tcBorders>
            <w:shd w:val="clear" w:color="auto" w:fill="auto"/>
            <w:vAlign w:val="center"/>
            <w:hideMark/>
          </w:tcPr>
          <w:p w14:paraId="7FFC1D01" w14:textId="77777777" w:rsidR="00CD5A03" w:rsidRPr="00CD5A03" w:rsidRDefault="00CD5A03" w:rsidP="00CD5A03">
            <w:pPr>
              <w:spacing w:before="0" w:after="0"/>
              <w:ind w:left="0"/>
              <w:jc w:val="left"/>
              <w:rPr>
                <w:color w:val="000000"/>
                <w:sz w:val="20"/>
              </w:rPr>
            </w:pPr>
            <w:r w:rsidRPr="00CD5A03">
              <w:rPr>
                <w:color w:val="000000"/>
                <w:sz w:val="20"/>
              </w:rPr>
              <w:t xml:space="preserve">                34 154   </w:t>
            </w:r>
          </w:p>
        </w:tc>
        <w:tc>
          <w:tcPr>
            <w:tcW w:w="1912" w:type="dxa"/>
            <w:tcBorders>
              <w:top w:val="nil"/>
              <w:left w:val="nil"/>
              <w:bottom w:val="single" w:sz="4" w:space="0" w:color="auto"/>
              <w:right w:val="single" w:sz="4" w:space="0" w:color="auto"/>
            </w:tcBorders>
            <w:shd w:val="clear" w:color="auto" w:fill="auto"/>
            <w:vAlign w:val="center"/>
            <w:hideMark/>
          </w:tcPr>
          <w:p w14:paraId="7FFC1D02" w14:textId="77777777" w:rsidR="00CD5A03" w:rsidRPr="00CD5A03" w:rsidRDefault="00CD5A03" w:rsidP="00CD5A03">
            <w:pPr>
              <w:spacing w:before="0" w:after="0"/>
              <w:ind w:left="0"/>
              <w:jc w:val="left"/>
              <w:rPr>
                <w:color w:val="000000"/>
                <w:sz w:val="20"/>
              </w:rPr>
            </w:pPr>
            <w:r w:rsidRPr="00CD5A03">
              <w:rPr>
                <w:color w:val="000000"/>
                <w:sz w:val="20"/>
              </w:rPr>
              <w:t xml:space="preserve">                14 985   </w:t>
            </w:r>
          </w:p>
        </w:tc>
        <w:tc>
          <w:tcPr>
            <w:tcW w:w="1912" w:type="dxa"/>
            <w:tcBorders>
              <w:top w:val="nil"/>
              <w:left w:val="nil"/>
              <w:bottom w:val="single" w:sz="4" w:space="0" w:color="auto"/>
              <w:right w:val="single" w:sz="4" w:space="0" w:color="auto"/>
            </w:tcBorders>
            <w:shd w:val="clear" w:color="auto" w:fill="auto"/>
            <w:vAlign w:val="center"/>
            <w:hideMark/>
          </w:tcPr>
          <w:p w14:paraId="7FFC1D03" w14:textId="77777777" w:rsidR="00CD5A03" w:rsidRPr="00CD5A03" w:rsidRDefault="00CD5A03" w:rsidP="00CD5A03">
            <w:pPr>
              <w:spacing w:before="0" w:after="0"/>
              <w:ind w:left="0"/>
              <w:jc w:val="left"/>
              <w:rPr>
                <w:color w:val="000000"/>
                <w:sz w:val="20"/>
              </w:rPr>
            </w:pPr>
            <w:r w:rsidRPr="00CD5A03">
              <w:rPr>
                <w:color w:val="000000"/>
                <w:sz w:val="20"/>
              </w:rPr>
              <w:t xml:space="preserve">                 1 163   </w:t>
            </w:r>
          </w:p>
        </w:tc>
        <w:tc>
          <w:tcPr>
            <w:tcW w:w="1280" w:type="dxa"/>
            <w:tcBorders>
              <w:top w:val="nil"/>
              <w:left w:val="nil"/>
              <w:bottom w:val="single" w:sz="4" w:space="0" w:color="auto"/>
              <w:right w:val="single" w:sz="4" w:space="0" w:color="auto"/>
            </w:tcBorders>
            <w:shd w:val="clear" w:color="000000" w:fill="BCD6EE"/>
            <w:vAlign w:val="center"/>
            <w:hideMark/>
          </w:tcPr>
          <w:p w14:paraId="7FFC1D04" w14:textId="77777777" w:rsidR="00CD5A03" w:rsidRPr="00CD5A03" w:rsidRDefault="00CD5A03" w:rsidP="00CD5A03">
            <w:pPr>
              <w:spacing w:before="0" w:after="0"/>
              <w:ind w:left="0"/>
              <w:jc w:val="left"/>
              <w:rPr>
                <w:color w:val="000000"/>
                <w:sz w:val="20"/>
              </w:rPr>
            </w:pPr>
            <w:r w:rsidRPr="00CD5A03">
              <w:rPr>
                <w:color w:val="000000"/>
                <w:sz w:val="20"/>
              </w:rPr>
              <w:t xml:space="preserve">     259 733   </w:t>
            </w:r>
          </w:p>
        </w:tc>
      </w:tr>
    </w:tbl>
    <w:p w14:paraId="7FFC1D06" w14:textId="77777777" w:rsidR="003949AC" w:rsidRDefault="003949AC" w:rsidP="00CD5A03">
      <w:pPr>
        <w:ind w:left="0"/>
      </w:pPr>
    </w:p>
    <w:p w14:paraId="7FFC1D07" w14:textId="3E1CCED0" w:rsidR="00F37521" w:rsidRDefault="00E51A1C">
      <w:pPr>
        <w:spacing w:before="0" w:after="0"/>
        <w:ind w:left="0"/>
        <w:jc w:val="left"/>
      </w:pPr>
      <w:r>
        <w:rPr>
          <w:noProof/>
        </w:rPr>
        <w:lastRenderedPageBreak/>
        <mc:AlternateContent>
          <mc:Choice Requires="wps">
            <w:drawing>
              <wp:anchor distT="0" distB="0" distL="114300" distR="114300" simplePos="0" relativeHeight="251666944" behindDoc="0" locked="0" layoutInCell="1" allowOverlap="1" wp14:anchorId="7FFC1E35" wp14:editId="0461FC68">
                <wp:simplePos x="0" y="0"/>
                <wp:positionH relativeFrom="column">
                  <wp:posOffset>-66040</wp:posOffset>
                </wp:positionH>
                <wp:positionV relativeFrom="paragraph">
                  <wp:posOffset>5781040</wp:posOffset>
                </wp:positionV>
                <wp:extent cx="8752205" cy="298450"/>
                <wp:effectExtent l="0" t="635" r="4445" b="0"/>
                <wp:wrapTight wrapText="bothSides">
                  <wp:wrapPolygon edited="0">
                    <wp:start x="-22" y="0"/>
                    <wp:lineTo x="-22" y="20727"/>
                    <wp:lineTo x="21600" y="20727"/>
                    <wp:lineTo x="21600" y="0"/>
                    <wp:lineTo x="-22" y="0"/>
                  </wp:wrapPolygon>
                </wp:wrapTight>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220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C" w14:textId="77777777" w:rsidR="00CB4331" w:rsidRPr="0011141D" w:rsidRDefault="00CB4331" w:rsidP="00F37521">
                            <w:pPr>
                              <w:pStyle w:val="Caption"/>
                              <w:rPr>
                                <w:noProof/>
                              </w:rPr>
                            </w:pPr>
                            <w:bookmarkStart w:id="50" w:name="_Ref451801582"/>
                            <w:r>
                              <w:t xml:space="preserve">Graphique  </w:t>
                            </w:r>
                            <w:fldSimple w:instr=" SEQ Graphique_ \* ARABIC ">
                              <w:r>
                                <w:rPr>
                                  <w:noProof/>
                                </w:rPr>
                                <w:t>10</w:t>
                              </w:r>
                            </w:fldSimple>
                            <w:bookmarkEnd w:id="50"/>
                            <w:r>
                              <w:t xml:space="preserve"> : Ratios de concentration dans le secteur de conseil en informatique en 2014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35" id="Text Box 14" o:spid="_x0000_s1034" type="#_x0000_t202" style="position:absolute;margin-left:-5.2pt;margin-top:455.2pt;width:689.15pt;height: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" stroked="f">
                <v:textbox style="mso-fit-shape-to-text:t" inset="0,0,0,0">
                  <w:txbxContent>
                    <w:p w14:paraId="7FFC1E8C" w14:textId="77777777" w:rsidR="00CB4331" w:rsidRPr="0011141D" w:rsidRDefault="00CB4331" w:rsidP="00F37521">
                      <w:pPr>
                        <w:pStyle w:val="Caption"/>
                        <w:rPr>
                          <w:noProof/>
                        </w:rPr>
                      </w:pPr>
                      <w:bookmarkStart w:id="51" w:name="_Ref451801582"/>
                      <w:r>
                        <w:t xml:space="preserve">Graphique  </w:t>
                      </w:r>
                      <w:fldSimple w:instr=" SEQ Graphique_ \* ARABIC ">
                        <w:r>
                          <w:rPr>
                            <w:noProof/>
                          </w:rPr>
                          <w:t>10</w:t>
                        </w:r>
                      </w:fldSimple>
                      <w:bookmarkEnd w:id="51"/>
                      <w:r>
                        <w:t xml:space="preserve"> : Ratios de concentration dans le secteur de conseil en informatique en 2014</w:t>
                      </w:r>
                    </w:p>
                  </w:txbxContent>
                </v:textbox>
                <w10:wrap type="tight"/>
              </v:shape>
            </w:pict>
          </mc:Fallback>
        </mc:AlternateContent>
      </w:r>
      <w:r w:rsidR="00F37521">
        <w:rPr>
          <w:noProof/>
        </w:rPr>
        <w:drawing>
          <wp:anchor distT="0" distB="0" distL="114300" distR="114300" simplePos="0" relativeHeight="251675648" behindDoc="1" locked="0" layoutInCell="1" allowOverlap="1" wp14:anchorId="7FFC1E36" wp14:editId="7FFC1E37">
            <wp:simplePos x="0" y="0"/>
            <wp:positionH relativeFrom="column">
              <wp:posOffset>-66040</wp:posOffset>
            </wp:positionH>
            <wp:positionV relativeFrom="paragraph">
              <wp:posOffset>-363220</wp:posOffset>
            </wp:positionV>
            <wp:extent cx="9256395" cy="6087110"/>
            <wp:effectExtent l="19050" t="0" r="1905" b="0"/>
            <wp:wrapTight wrapText="bothSides">
              <wp:wrapPolygon edited="0">
                <wp:start x="-44" y="0"/>
                <wp:lineTo x="-44" y="21564"/>
                <wp:lineTo x="21604" y="21564"/>
                <wp:lineTo x="21604" y="0"/>
                <wp:lineTo x="-44"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9256395" cy="6087110"/>
                    </a:xfrm>
                    <a:prstGeom prst="rect">
                      <a:avLst/>
                    </a:prstGeom>
                    <a:noFill/>
                    <a:ln w="9525">
                      <a:noFill/>
                      <a:miter lim="800000"/>
                      <a:headEnd/>
                      <a:tailEnd/>
                    </a:ln>
                  </pic:spPr>
                </pic:pic>
              </a:graphicData>
            </a:graphic>
          </wp:anchor>
        </w:drawing>
      </w:r>
      <w:r w:rsidR="00F37521">
        <w:br w:type="page"/>
      </w:r>
    </w:p>
    <w:p w14:paraId="7FFC1D08" w14:textId="2D6257A7" w:rsidR="00F37521" w:rsidRDefault="00E51A1C">
      <w:pPr>
        <w:spacing w:before="0" w:after="0"/>
        <w:ind w:left="0"/>
        <w:jc w:val="left"/>
      </w:pPr>
      <w:r>
        <w:rPr>
          <w:noProof/>
        </w:rPr>
        <w:lastRenderedPageBreak/>
        <mc:AlternateContent>
          <mc:Choice Requires="wps">
            <w:drawing>
              <wp:anchor distT="0" distB="0" distL="114300" distR="114300" simplePos="0" relativeHeight="251667968" behindDoc="0" locked="0" layoutInCell="1" allowOverlap="1" wp14:anchorId="7FFC1E38" wp14:editId="141CBBEE">
                <wp:simplePos x="0" y="0"/>
                <wp:positionH relativeFrom="column">
                  <wp:posOffset>-61595</wp:posOffset>
                </wp:positionH>
                <wp:positionV relativeFrom="paragraph">
                  <wp:posOffset>5739130</wp:posOffset>
                </wp:positionV>
                <wp:extent cx="8681085" cy="298450"/>
                <wp:effectExtent l="1270" t="0" r="4445" b="0"/>
                <wp:wrapTight wrapText="bothSides">
                  <wp:wrapPolygon edited="0">
                    <wp:start x="-22" y="0"/>
                    <wp:lineTo x="-22" y="20727"/>
                    <wp:lineTo x="21600" y="20727"/>
                    <wp:lineTo x="21600" y="0"/>
                    <wp:lineTo x="-22"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10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D" w14:textId="77777777" w:rsidR="00CB4331" w:rsidRPr="005B75E3" w:rsidRDefault="00CB4331" w:rsidP="00F37521">
                            <w:pPr>
                              <w:pStyle w:val="Caption"/>
                              <w:rPr>
                                <w:noProof/>
                              </w:rPr>
                            </w:pPr>
                            <w:bookmarkStart w:id="52" w:name="_Ref451801633"/>
                            <w:r>
                              <w:t xml:space="preserve">Graphique  </w:t>
                            </w:r>
                            <w:fldSimple w:instr=" SEQ Graphique_ \* ARABIC ">
                              <w:r>
                                <w:rPr>
                                  <w:noProof/>
                                </w:rPr>
                                <w:t>11</w:t>
                              </w:r>
                            </w:fldSimple>
                            <w:bookmarkEnd w:id="52"/>
                            <w:r>
                              <w:t xml:space="preserve"> : évolution de la concentration du secteur entre 2004 et 2014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38" id="Text Box 15" o:spid="_x0000_s1035" type="#_x0000_t202" style="position:absolute;margin-left:-4.85pt;margin-top:451.9pt;width:683.55pt;height:2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" stroked="f">
                <v:textbox style="mso-fit-shape-to-text:t" inset="0,0,0,0">
                  <w:txbxContent>
                    <w:p w14:paraId="7FFC1E8D" w14:textId="77777777" w:rsidR="00CB4331" w:rsidRPr="005B75E3" w:rsidRDefault="00CB4331" w:rsidP="00F37521">
                      <w:pPr>
                        <w:pStyle w:val="Caption"/>
                        <w:rPr>
                          <w:noProof/>
                        </w:rPr>
                      </w:pPr>
                      <w:bookmarkStart w:id="53" w:name="_Ref451801633"/>
                      <w:r>
                        <w:t xml:space="preserve">Graphique  </w:t>
                      </w:r>
                      <w:fldSimple w:instr=" SEQ Graphique_ \* ARABIC ">
                        <w:r>
                          <w:rPr>
                            <w:noProof/>
                          </w:rPr>
                          <w:t>11</w:t>
                        </w:r>
                      </w:fldSimple>
                      <w:bookmarkEnd w:id="53"/>
                      <w:r>
                        <w:t xml:space="preserve"> : évolution de la concentration du secteur entre 2004 et 2014</w:t>
                      </w:r>
                    </w:p>
                  </w:txbxContent>
                </v:textbox>
                <w10:wrap type="tight"/>
              </v:shape>
            </w:pict>
          </mc:Fallback>
        </mc:AlternateContent>
      </w:r>
      <w:r w:rsidR="00F37521">
        <w:rPr>
          <w:noProof/>
        </w:rPr>
        <w:drawing>
          <wp:anchor distT="0" distB="0" distL="114300" distR="114300" simplePos="0" relativeHeight="251684864" behindDoc="1" locked="0" layoutInCell="1" allowOverlap="1" wp14:anchorId="7FFC1E39" wp14:editId="7FFC1E3A">
            <wp:simplePos x="0" y="0"/>
            <wp:positionH relativeFrom="column">
              <wp:posOffset>-61595</wp:posOffset>
            </wp:positionH>
            <wp:positionV relativeFrom="paragraph">
              <wp:posOffset>-363220</wp:posOffset>
            </wp:positionV>
            <wp:extent cx="9256395" cy="6045200"/>
            <wp:effectExtent l="19050" t="0" r="1905" b="0"/>
            <wp:wrapTight wrapText="bothSides">
              <wp:wrapPolygon edited="0">
                <wp:start x="-44" y="0"/>
                <wp:lineTo x="-44" y="21509"/>
                <wp:lineTo x="21604" y="21509"/>
                <wp:lineTo x="21604" y="0"/>
                <wp:lineTo x="-44"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9256395" cy="6045200"/>
                    </a:xfrm>
                    <a:prstGeom prst="rect">
                      <a:avLst/>
                    </a:prstGeom>
                    <a:noFill/>
                    <a:ln w="9525">
                      <a:noFill/>
                      <a:miter lim="800000"/>
                      <a:headEnd/>
                      <a:tailEnd/>
                    </a:ln>
                  </pic:spPr>
                </pic:pic>
              </a:graphicData>
            </a:graphic>
          </wp:anchor>
        </w:drawing>
      </w:r>
      <w:r w:rsidR="00F37521">
        <w:br w:type="page"/>
      </w:r>
    </w:p>
    <w:p w14:paraId="7FFC1D09" w14:textId="7716712D" w:rsidR="00F37521" w:rsidRDefault="00E51A1C">
      <w:pPr>
        <w:spacing w:before="0" w:after="0"/>
        <w:ind w:left="0"/>
        <w:jc w:val="left"/>
      </w:pPr>
      <w:r>
        <w:rPr>
          <w:noProof/>
        </w:rPr>
        <w:lastRenderedPageBreak/>
        <mc:AlternateContent>
          <mc:Choice Requires="wps">
            <w:drawing>
              <wp:anchor distT="0" distB="0" distL="114300" distR="114300" simplePos="0" relativeHeight="251670016" behindDoc="0" locked="0" layoutInCell="1" allowOverlap="1" wp14:anchorId="7FFC1E3B" wp14:editId="6DB2954C">
                <wp:simplePos x="0" y="0"/>
                <wp:positionH relativeFrom="column">
                  <wp:posOffset>-53340</wp:posOffset>
                </wp:positionH>
                <wp:positionV relativeFrom="paragraph">
                  <wp:posOffset>5764530</wp:posOffset>
                </wp:positionV>
                <wp:extent cx="8688705" cy="298450"/>
                <wp:effectExtent l="0" t="3175" r="0" b="3175"/>
                <wp:wrapTight wrapText="bothSides">
                  <wp:wrapPolygon edited="0">
                    <wp:start x="-22" y="0"/>
                    <wp:lineTo x="-22" y="20727"/>
                    <wp:lineTo x="21600" y="20727"/>
                    <wp:lineTo x="21600" y="0"/>
                    <wp:lineTo x="-22" y="0"/>
                  </wp:wrapPolygon>
                </wp:wrapTight>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870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E" w14:textId="77777777" w:rsidR="00CB4331" w:rsidRPr="00AF6F02" w:rsidRDefault="00CB4331" w:rsidP="004E3855">
                            <w:pPr>
                              <w:pStyle w:val="Caption"/>
                              <w:rPr>
                                <w:noProof/>
                              </w:rPr>
                            </w:pPr>
                            <w:bookmarkStart w:id="54" w:name="_Ref451801912"/>
                            <w:r>
                              <w:t xml:space="preserve">Graphique  </w:t>
                            </w:r>
                            <w:fldSimple w:instr=" SEQ Graphique_ \* ARABIC ">
                              <w:r>
                                <w:rPr>
                                  <w:noProof/>
                                </w:rPr>
                                <w:t>12</w:t>
                              </w:r>
                            </w:fldSimple>
                            <w:bookmarkEnd w:id="54"/>
                            <w:r>
                              <w:t xml:space="preserve"> : Taille des entreprises par chiffres d'affaires et par total du bilan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3B" id="Text Box 18" o:spid="_x0000_s1036" type="#_x0000_t202" style="position:absolute;margin-left:-4.2pt;margin-top:453.9pt;width:684.15pt;height: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" stroked="f">
                <v:textbox style="mso-fit-shape-to-text:t" inset="0,0,0,0">
                  <w:txbxContent>
                    <w:p w14:paraId="7FFC1E8E" w14:textId="77777777" w:rsidR="00CB4331" w:rsidRPr="00AF6F02" w:rsidRDefault="00CB4331" w:rsidP="004E3855">
                      <w:pPr>
                        <w:pStyle w:val="Caption"/>
                        <w:rPr>
                          <w:noProof/>
                        </w:rPr>
                      </w:pPr>
                      <w:bookmarkStart w:id="55" w:name="_Ref451801912"/>
                      <w:r>
                        <w:t xml:space="preserve">Graphique  </w:t>
                      </w:r>
                      <w:fldSimple w:instr=" SEQ Graphique_ \* ARABIC ">
                        <w:r>
                          <w:rPr>
                            <w:noProof/>
                          </w:rPr>
                          <w:t>12</w:t>
                        </w:r>
                      </w:fldSimple>
                      <w:bookmarkEnd w:id="55"/>
                      <w:r>
                        <w:t xml:space="preserve"> : Taille des entreprises par chiffres d'affaires et par total du bilan</w:t>
                      </w:r>
                    </w:p>
                  </w:txbxContent>
                </v:textbox>
                <w10:wrap type="tight"/>
              </v:shape>
            </w:pict>
          </mc:Fallback>
        </mc:AlternateContent>
      </w:r>
      <w:r w:rsidR="00F37521">
        <w:rPr>
          <w:noProof/>
        </w:rPr>
        <w:drawing>
          <wp:anchor distT="0" distB="0" distL="114300" distR="114300" simplePos="0" relativeHeight="251694080" behindDoc="1" locked="0" layoutInCell="1" allowOverlap="1" wp14:anchorId="7FFC1E3C" wp14:editId="7FFC1E3D">
            <wp:simplePos x="0" y="0"/>
            <wp:positionH relativeFrom="column">
              <wp:posOffset>-53340</wp:posOffset>
            </wp:positionH>
            <wp:positionV relativeFrom="paragraph">
              <wp:posOffset>-363220</wp:posOffset>
            </wp:positionV>
            <wp:extent cx="9256395" cy="6070600"/>
            <wp:effectExtent l="19050" t="0" r="1905" b="0"/>
            <wp:wrapTight wrapText="bothSides">
              <wp:wrapPolygon edited="0">
                <wp:start x="-44" y="0"/>
                <wp:lineTo x="-44" y="21555"/>
                <wp:lineTo x="21604" y="21555"/>
                <wp:lineTo x="21604" y="0"/>
                <wp:lineTo x="-44"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r w:rsidR="00F37521">
        <w:br w:type="page"/>
      </w:r>
    </w:p>
    <w:p w14:paraId="7FFC1D0A" w14:textId="5625B04D" w:rsidR="003949AC" w:rsidRDefault="00E51A1C" w:rsidP="004E3855">
      <w:r>
        <w:rPr>
          <w:noProof/>
        </w:rPr>
        <w:lastRenderedPageBreak/>
        <mc:AlternateContent>
          <mc:Choice Requires="wps">
            <w:drawing>
              <wp:anchor distT="0" distB="0" distL="114300" distR="114300" simplePos="0" relativeHeight="251668992" behindDoc="0" locked="0" layoutInCell="1" allowOverlap="1" wp14:anchorId="7FFC1E3E" wp14:editId="28A8287B">
                <wp:simplePos x="0" y="0"/>
                <wp:positionH relativeFrom="column">
                  <wp:posOffset>-45085</wp:posOffset>
                </wp:positionH>
                <wp:positionV relativeFrom="paragraph">
                  <wp:posOffset>5764530</wp:posOffset>
                </wp:positionV>
                <wp:extent cx="8790305" cy="298450"/>
                <wp:effectExtent l="0" t="3175" r="2540" b="3175"/>
                <wp:wrapTight wrapText="bothSides">
                  <wp:wrapPolygon edited="0">
                    <wp:start x="-22" y="0"/>
                    <wp:lineTo x="-22" y="20957"/>
                    <wp:lineTo x="21600" y="20957"/>
                    <wp:lineTo x="21600" y="0"/>
                    <wp:lineTo x="-22" y="0"/>
                  </wp:wrapPolygon>
                </wp:wrapTight>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030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8F" w14:textId="77777777" w:rsidR="00CB4331" w:rsidRPr="005E7D01" w:rsidRDefault="00CB4331" w:rsidP="004E3855">
                            <w:pPr>
                              <w:pStyle w:val="Caption"/>
                              <w:rPr>
                                <w:noProof/>
                              </w:rPr>
                            </w:pPr>
                            <w:bookmarkStart w:id="56" w:name="_Ref451801999"/>
                            <w:r>
                              <w:t xml:space="preserve">Graphique  </w:t>
                            </w:r>
                            <w:fldSimple w:instr=" SEQ Graphique_ \* ARABIC ">
                              <w:r>
                                <w:rPr>
                                  <w:noProof/>
                                </w:rPr>
                                <w:t>13</w:t>
                              </w:r>
                            </w:fldSimple>
                            <w:bookmarkEnd w:id="56"/>
                            <w:r>
                              <w:t xml:space="preserve"> : Positions relatives des entreprises du secteur par rapport au leader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3E" id="Text Box 17" o:spid="_x0000_s1037" type="#_x0000_t202" style="position:absolute;left:0;text-align:left;margin-left:-3.55pt;margin-top:453.9pt;width:692.15pt;height: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" stroked="f">
                <v:textbox style="mso-fit-shape-to-text:t" inset="0,0,0,0">
                  <w:txbxContent>
                    <w:p w14:paraId="7FFC1E8F" w14:textId="77777777" w:rsidR="00CB4331" w:rsidRPr="005E7D01" w:rsidRDefault="00CB4331" w:rsidP="004E3855">
                      <w:pPr>
                        <w:pStyle w:val="Caption"/>
                        <w:rPr>
                          <w:noProof/>
                        </w:rPr>
                      </w:pPr>
                      <w:bookmarkStart w:id="57" w:name="_Ref451801999"/>
                      <w:r>
                        <w:t xml:space="preserve">Graphique  </w:t>
                      </w:r>
                      <w:fldSimple w:instr=" SEQ Graphique_ \* ARABIC ">
                        <w:r>
                          <w:rPr>
                            <w:noProof/>
                          </w:rPr>
                          <w:t>13</w:t>
                        </w:r>
                      </w:fldSimple>
                      <w:bookmarkEnd w:id="57"/>
                      <w:r>
                        <w:t xml:space="preserve"> : Positions relatives des entreprises du secteur par rapport au leader</w:t>
                      </w:r>
                    </w:p>
                  </w:txbxContent>
                </v:textbox>
                <w10:wrap type="tight"/>
              </v:shape>
            </w:pict>
          </mc:Fallback>
        </mc:AlternateContent>
      </w:r>
      <w:r w:rsidR="004E3855">
        <w:rPr>
          <w:noProof/>
        </w:rPr>
        <w:drawing>
          <wp:anchor distT="0" distB="0" distL="114300" distR="114300" simplePos="0" relativeHeight="251703296" behindDoc="1" locked="0" layoutInCell="1" allowOverlap="1" wp14:anchorId="7FFC1E3F" wp14:editId="7FFC1E40">
            <wp:simplePos x="0" y="0"/>
            <wp:positionH relativeFrom="column">
              <wp:posOffset>-45085</wp:posOffset>
            </wp:positionH>
            <wp:positionV relativeFrom="paragraph">
              <wp:posOffset>-363220</wp:posOffset>
            </wp:positionV>
            <wp:extent cx="9256395" cy="6070600"/>
            <wp:effectExtent l="19050" t="0" r="1905" b="0"/>
            <wp:wrapTight wrapText="bothSides">
              <wp:wrapPolygon edited="0">
                <wp:start x="-44" y="0"/>
                <wp:lineTo x="-44" y="21555"/>
                <wp:lineTo x="21604" y="21555"/>
                <wp:lineTo x="21604" y="0"/>
                <wp:lineTo x="-44"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14:paraId="7FFC1D0B" w14:textId="1E50E0EE" w:rsidR="003949AC" w:rsidRPr="00FC4333" w:rsidRDefault="00E51A1C" w:rsidP="00FC4333">
      <w:r>
        <w:rPr>
          <w:noProof/>
        </w:rPr>
        <w:lastRenderedPageBreak/>
        <mc:AlternateContent>
          <mc:Choice Requires="wps">
            <w:drawing>
              <wp:anchor distT="0" distB="0" distL="114300" distR="114300" simplePos="0" relativeHeight="251659776" behindDoc="0" locked="0" layoutInCell="1" allowOverlap="1" wp14:anchorId="7FFC1E41" wp14:editId="3FDD0D38">
                <wp:simplePos x="0" y="0"/>
                <wp:positionH relativeFrom="column">
                  <wp:posOffset>177165</wp:posOffset>
                </wp:positionH>
                <wp:positionV relativeFrom="paragraph">
                  <wp:posOffset>5730240</wp:posOffset>
                </wp:positionV>
                <wp:extent cx="8488045" cy="298450"/>
                <wp:effectExtent l="1905" t="0" r="0" b="0"/>
                <wp:wrapTight wrapText="bothSides">
                  <wp:wrapPolygon edited="0">
                    <wp:start x="-23" y="0"/>
                    <wp:lineTo x="-23" y="20957"/>
                    <wp:lineTo x="21600" y="20957"/>
                    <wp:lineTo x="21600" y="0"/>
                    <wp:lineTo x="-23" y="0"/>
                  </wp:wrapPolygon>
                </wp:wrapTigh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804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90" w14:textId="77777777" w:rsidR="00CB4331" w:rsidRPr="00A70217" w:rsidRDefault="00CB4331" w:rsidP="00867837">
                            <w:pPr>
                              <w:pStyle w:val="Caption"/>
                              <w:rPr>
                                <w:noProof/>
                              </w:rPr>
                            </w:pPr>
                            <w:bookmarkStart w:id="58" w:name="_Ref451798613"/>
                            <w:r>
                              <w:t xml:space="preserve">Graphique  </w:t>
                            </w:r>
                            <w:fldSimple w:instr=" SEQ Graphique_ \* ARABIC ">
                              <w:r>
                                <w:rPr>
                                  <w:noProof/>
                                </w:rPr>
                                <w:t>14</w:t>
                              </w:r>
                            </w:fldSimple>
                            <w:bookmarkEnd w:id="58"/>
                            <w:r>
                              <w:t xml:space="preserve"> : Répartition des entreprises du secteur par région en France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41" id="Text Box 4" o:spid="_x0000_s1038" type="#_x0000_t202" style="position:absolute;left:0;text-align:left;margin-left:13.95pt;margin-top:451.2pt;width:668.3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" stroked="f">
                <v:textbox style="mso-fit-shape-to-text:t" inset="0,0,0,0">
                  <w:txbxContent>
                    <w:p w14:paraId="7FFC1E90" w14:textId="77777777" w:rsidR="00CB4331" w:rsidRPr="00A70217" w:rsidRDefault="00CB4331" w:rsidP="00867837">
                      <w:pPr>
                        <w:pStyle w:val="Caption"/>
                        <w:rPr>
                          <w:noProof/>
                        </w:rPr>
                      </w:pPr>
                      <w:bookmarkStart w:id="59" w:name="_Ref451798613"/>
                      <w:r>
                        <w:t xml:space="preserve">Graphique  </w:t>
                      </w:r>
                      <w:fldSimple w:instr=" SEQ Graphique_ \* ARABIC ">
                        <w:r>
                          <w:rPr>
                            <w:noProof/>
                          </w:rPr>
                          <w:t>14</w:t>
                        </w:r>
                      </w:fldSimple>
                      <w:bookmarkEnd w:id="59"/>
                      <w:r>
                        <w:t xml:space="preserve"> : Répartition des entreprises du secteur par région en France</w:t>
                      </w:r>
                    </w:p>
                  </w:txbxContent>
                </v:textbox>
                <w10:wrap type="tight"/>
              </v:shape>
            </w:pict>
          </mc:Fallback>
        </mc:AlternateContent>
      </w:r>
      <w:r w:rsidR="00D221E9">
        <w:rPr>
          <w:noProof/>
        </w:rPr>
        <w:drawing>
          <wp:anchor distT="0" distB="0" distL="114300" distR="114300" simplePos="0" relativeHeight="251611136" behindDoc="1" locked="0" layoutInCell="1" allowOverlap="1" wp14:anchorId="7FFC1E42" wp14:editId="7FFC1E43">
            <wp:simplePos x="0" y="0"/>
            <wp:positionH relativeFrom="column">
              <wp:posOffset>-32385</wp:posOffset>
            </wp:positionH>
            <wp:positionV relativeFrom="paragraph">
              <wp:posOffset>-397510</wp:posOffset>
            </wp:positionV>
            <wp:extent cx="9256395" cy="6070600"/>
            <wp:effectExtent l="19050" t="0" r="1905" b="0"/>
            <wp:wrapTight wrapText="bothSides">
              <wp:wrapPolygon edited="0">
                <wp:start x="-44" y="0"/>
                <wp:lineTo x="-44" y="21555"/>
                <wp:lineTo x="21604" y="21555"/>
                <wp:lineTo x="21604" y="0"/>
                <wp:lineTo x="-44"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14:paraId="7FFC1D0C" w14:textId="72A0E1C2" w:rsidR="002C0483" w:rsidRDefault="00E51A1C">
      <w:pPr>
        <w:spacing w:before="0" w:after="0"/>
        <w:ind w:left="0"/>
        <w:jc w:val="left"/>
      </w:pPr>
      <w:r>
        <w:rPr>
          <w:noProof/>
        </w:rPr>
        <w:lastRenderedPageBreak/>
        <mc:AlternateContent>
          <mc:Choice Requires="wps">
            <w:drawing>
              <wp:anchor distT="0" distB="0" distL="114300" distR="114300" simplePos="0" relativeHeight="251663872" behindDoc="0" locked="0" layoutInCell="1" allowOverlap="1" wp14:anchorId="7FFC1E44" wp14:editId="6053318D">
                <wp:simplePos x="0" y="0"/>
                <wp:positionH relativeFrom="column">
                  <wp:posOffset>-66040</wp:posOffset>
                </wp:positionH>
                <wp:positionV relativeFrom="paragraph">
                  <wp:posOffset>5746750</wp:posOffset>
                </wp:positionV>
                <wp:extent cx="8769350" cy="298450"/>
                <wp:effectExtent l="0" t="4445" r="0" b="1905"/>
                <wp:wrapTight wrapText="bothSides">
                  <wp:wrapPolygon edited="0">
                    <wp:start x="-22" y="0"/>
                    <wp:lineTo x="-22" y="20727"/>
                    <wp:lineTo x="21600" y="20727"/>
                    <wp:lineTo x="21600" y="0"/>
                    <wp:lineTo x="-22" y="0"/>
                  </wp:wrapPolygon>
                </wp:wrapTight>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91" w14:textId="77777777" w:rsidR="00CB4331" w:rsidRPr="00CA4777" w:rsidRDefault="00CB4331" w:rsidP="007A3DB9">
                            <w:pPr>
                              <w:pStyle w:val="Caption"/>
                              <w:rPr>
                                <w:noProof/>
                              </w:rPr>
                            </w:pPr>
                            <w:bookmarkStart w:id="60" w:name="_Ref451799744"/>
                            <w:r>
                              <w:t xml:space="preserve">Graphique  </w:t>
                            </w:r>
                            <w:fldSimple w:instr=" SEQ Graphique_ \* ARABIC ">
                              <w:r>
                                <w:rPr>
                                  <w:noProof/>
                                </w:rPr>
                                <w:t>15</w:t>
                              </w:r>
                            </w:fldSimple>
                            <w:bookmarkEnd w:id="60"/>
                            <w:r>
                              <w:t xml:space="preserve"> : Créations et défaillances des entreprises du secteur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44" id="Text Box 11" o:spid="_x0000_s1039" type="#_x0000_t202" style="position:absolute;margin-left:-5.2pt;margin-top:452.5pt;width:690.5pt;height: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" stroked="f">
                <v:textbox style="mso-fit-shape-to-text:t" inset="0,0,0,0">
                  <w:txbxContent>
                    <w:p w14:paraId="7FFC1E91" w14:textId="77777777" w:rsidR="00CB4331" w:rsidRPr="00CA4777" w:rsidRDefault="00CB4331" w:rsidP="007A3DB9">
                      <w:pPr>
                        <w:pStyle w:val="Caption"/>
                        <w:rPr>
                          <w:noProof/>
                        </w:rPr>
                      </w:pPr>
                      <w:bookmarkStart w:id="61" w:name="_Ref451799744"/>
                      <w:r>
                        <w:t xml:space="preserve">Graphique  </w:t>
                      </w:r>
                      <w:fldSimple w:instr=" SEQ Graphique_ \* ARABIC ">
                        <w:r>
                          <w:rPr>
                            <w:noProof/>
                          </w:rPr>
                          <w:t>15</w:t>
                        </w:r>
                      </w:fldSimple>
                      <w:bookmarkEnd w:id="61"/>
                      <w:r>
                        <w:t xml:space="preserve"> : Créations et défaillances des entreprises du secteur</w:t>
                      </w:r>
                    </w:p>
                  </w:txbxContent>
                </v:textbox>
                <w10:wrap type="tight"/>
              </v:shape>
            </w:pict>
          </mc:Fallback>
        </mc:AlternateContent>
      </w:r>
      <w:r w:rsidR="007A3DB9">
        <w:rPr>
          <w:noProof/>
        </w:rPr>
        <w:drawing>
          <wp:anchor distT="0" distB="0" distL="114300" distR="114300" simplePos="0" relativeHeight="251648000" behindDoc="1" locked="0" layoutInCell="1" allowOverlap="1" wp14:anchorId="7FFC1E45" wp14:editId="7FFC1E46">
            <wp:simplePos x="0" y="0"/>
            <wp:positionH relativeFrom="column">
              <wp:posOffset>-66040</wp:posOffset>
            </wp:positionH>
            <wp:positionV relativeFrom="paragraph">
              <wp:posOffset>-372110</wp:posOffset>
            </wp:positionV>
            <wp:extent cx="9256395" cy="6061710"/>
            <wp:effectExtent l="19050" t="0" r="1905" b="0"/>
            <wp:wrapTight wrapText="bothSides">
              <wp:wrapPolygon edited="0">
                <wp:start x="-44" y="0"/>
                <wp:lineTo x="-44" y="21519"/>
                <wp:lineTo x="21604" y="21519"/>
                <wp:lineTo x="21604" y="0"/>
                <wp:lineTo x="-44"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9256395" cy="6061710"/>
                    </a:xfrm>
                    <a:prstGeom prst="rect">
                      <a:avLst/>
                    </a:prstGeom>
                    <a:noFill/>
                    <a:ln w="9525">
                      <a:noFill/>
                      <a:miter lim="800000"/>
                      <a:headEnd/>
                      <a:tailEnd/>
                    </a:ln>
                  </pic:spPr>
                </pic:pic>
              </a:graphicData>
            </a:graphic>
          </wp:anchor>
        </w:drawing>
      </w:r>
      <w:r w:rsidR="002C0483">
        <w:br w:type="page"/>
      </w:r>
      <w:r>
        <w:rPr>
          <w:noProof/>
        </w:rPr>
        <w:lastRenderedPageBreak/>
        <mc:AlternateContent>
          <mc:Choice Requires="wps">
            <w:drawing>
              <wp:anchor distT="0" distB="0" distL="114300" distR="114300" simplePos="0" relativeHeight="251664896" behindDoc="0" locked="0" layoutInCell="1" allowOverlap="1" wp14:anchorId="7FFC1E47" wp14:editId="1008802C">
                <wp:simplePos x="0" y="0"/>
                <wp:positionH relativeFrom="column">
                  <wp:posOffset>-24130</wp:posOffset>
                </wp:positionH>
                <wp:positionV relativeFrom="paragraph">
                  <wp:posOffset>5758180</wp:posOffset>
                </wp:positionV>
                <wp:extent cx="8947150" cy="444500"/>
                <wp:effectExtent l="635" t="0" r="0" b="0"/>
                <wp:wrapTight wrapText="bothSides">
                  <wp:wrapPolygon edited="0">
                    <wp:start x="-21" y="0"/>
                    <wp:lineTo x="-21" y="20736"/>
                    <wp:lineTo x="21600" y="20736"/>
                    <wp:lineTo x="21600" y="0"/>
                    <wp:lineTo x="-21" y="0"/>
                  </wp:wrapPolygon>
                </wp:wrapTight>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92" w14:textId="77777777" w:rsidR="00CB4331" w:rsidRPr="005C4DAA" w:rsidRDefault="00CB4331" w:rsidP="007A3DB9">
                            <w:pPr>
                              <w:pStyle w:val="Caption"/>
                              <w:rPr>
                                <w:noProof/>
                              </w:rPr>
                            </w:pPr>
                            <w:bookmarkStart w:id="62" w:name="_Ref451800077"/>
                            <w:r>
                              <w:t xml:space="preserve">Graphique  </w:t>
                            </w:r>
                            <w:fldSimple w:instr=" SEQ Graphique_ \* ARABIC ">
                              <w:r>
                                <w:rPr>
                                  <w:noProof/>
                                </w:rPr>
                                <w:t>16</w:t>
                              </w:r>
                            </w:fldSimple>
                            <w:bookmarkEnd w:id="62"/>
                            <w:r>
                              <w:t xml:space="preserve"> : évolution de la répartition des salariés selon la taille de l'entreprise dans le secteur 6202A de conseil en systèmes et logiciels informatiques en France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47" id="Text Box 12" o:spid="_x0000_s1040" type="#_x0000_t202" style="position:absolute;margin-left:-1.9pt;margin-top:453.4pt;width:704.5pt;height: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" stroked="f">
                <v:textbox style="mso-fit-shape-to-text:t" inset="0,0,0,0">
                  <w:txbxContent>
                    <w:p w14:paraId="7FFC1E92" w14:textId="77777777" w:rsidR="00CB4331" w:rsidRPr="005C4DAA" w:rsidRDefault="00CB4331" w:rsidP="007A3DB9">
                      <w:pPr>
                        <w:pStyle w:val="Caption"/>
                        <w:rPr>
                          <w:noProof/>
                        </w:rPr>
                      </w:pPr>
                      <w:bookmarkStart w:id="63" w:name="_Ref451800077"/>
                      <w:r>
                        <w:t xml:space="preserve">Graphique  </w:t>
                      </w:r>
                      <w:fldSimple w:instr=" SEQ Graphique_ \* ARABIC ">
                        <w:r>
                          <w:rPr>
                            <w:noProof/>
                          </w:rPr>
                          <w:t>16</w:t>
                        </w:r>
                      </w:fldSimple>
                      <w:bookmarkEnd w:id="63"/>
                      <w:r>
                        <w:t xml:space="preserve"> : évolution de la répartition des salariés selon la taille de l'entreprise dans le secteur 6202A de conseil en systèmes et logiciels informatiques en France</w:t>
                      </w:r>
                    </w:p>
                  </w:txbxContent>
                </v:textbox>
                <w10:wrap type="tight"/>
              </v:shape>
            </w:pict>
          </mc:Fallback>
        </mc:AlternateContent>
      </w:r>
      <w:r w:rsidR="007A3DB9">
        <w:rPr>
          <w:noProof/>
        </w:rPr>
        <w:drawing>
          <wp:anchor distT="0" distB="0" distL="114300" distR="114300" simplePos="0" relativeHeight="251657216" behindDoc="1" locked="0" layoutInCell="1" allowOverlap="1" wp14:anchorId="7FFC1E48" wp14:editId="7FFC1E49">
            <wp:simplePos x="0" y="0"/>
            <wp:positionH relativeFrom="column">
              <wp:posOffset>-24130</wp:posOffset>
            </wp:positionH>
            <wp:positionV relativeFrom="paragraph">
              <wp:posOffset>-360680</wp:posOffset>
            </wp:positionV>
            <wp:extent cx="9226550" cy="6061710"/>
            <wp:effectExtent l="19050" t="0" r="0" b="0"/>
            <wp:wrapTight wrapText="bothSides">
              <wp:wrapPolygon edited="0">
                <wp:start x="-45" y="0"/>
                <wp:lineTo x="-45" y="21519"/>
                <wp:lineTo x="21585" y="21519"/>
                <wp:lineTo x="21585" y="0"/>
                <wp:lineTo x="-45"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9226550" cy="6061710"/>
                    </a:xfrm>
                    <a:prstGeom prst="rect">
                      <a:avLst/>
                    </a:prstGeom>
                    <a:noFill/>
                    <a:ln w="9525">
                      <a:noFill/>
                      <a:miter lim="800000"/>
                      <a:headEnd/>
                      <a:tailEnd/>
                    </a:ln>
                  </pic:spPr>
                </pic:pic>
              </a:graphicData>
            </a:graphic>
          </wp:anchor>
        </w:drawing>
      </w:r>
      <w:r w:rsidR="007A3DB9">
        <w:t xml:space="preserve"> </w:t>
      </w:r>
      <w:r w:rsidR="002C0483">
        <w:br w:type="page"/>
      </w:r>
    </w:p>
    <w:p w14:paraId="7FFC1D0D" w14:textId="561225D5" w:rsidR="00704087" w:rsidRPr="00AB4E72" w:rsidRDefault="00E51A1C" w:rsidP="00AB4E72">
      <w:pPr>
        <w:spacing w:before="0" w:after="0"/>
        <w:ind w:left="0"/>
        <w:jc w:val="left"/>
        <w:rPr>
          <w:kern w:val="28"/>
        </w:rPr>
      </w:pPr>
      <w:r>
        <w:rPr>
          <w:noProof/>
        </w:rPr>
        <w:lastRenderedPageBreak/>
        <mc:AlternateContent>
          <mc:Choice Requires="wps">
            <w:drawing>
              <wp:anchor distT="0" distB="0" distL="114300" distR="114300" simplePos="0" relativeHeight="251665920" behindDoc="0" locked="0" layoutInCell="1" allowOverlap="1" wp14:anchorId="7FFC1E4A" wp14:editId="6131FF0B">
                <wp:simplePos x="0" y="0"/>
                <wp:positionH relativeFrom="column">
                  <wp:posOffset>-40640</wp:posOffset>
                </wp:positionH>
                <wp:positionV relativeFrom="paragraph">
                  <wp:posOffset>5739130</wp:posOffset>
                </wp:positionV>
                <wp:extent cx="9082405" cy="298450"/>
                <wp:effectExtent l="3175" t="0" r="1270" b="0"/>
                <wp:wrapTight wrapText="bothSides">
                  <wp:wrapPolygon edited="0">
                    <wp:start x="-23" y="0"/>
                    <wp:lineTo x="-23" y="20727"/>
                    <wp:lineTo x="21600" y="20727"/>
                    <wp:lineTo x="21600" y="0"/>
                    <wp:lineTo x="-23" y="0"/>
                  </wp:wrapPolygon>
                </wp:wrapTigh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240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C1E93" w14:textId="77777777" w:rsidR="00CB4331" w:rsidRPr="00620C35" w:rsidRDefault="00CB4331" w:rsidP="00F37521">
                            <w:pPr>
                              <w:pStyle w:val="Caption"/>
                              <w:rPr>
                                <w:noProof/>
                                <w:kern w:val="28"/>
                              </w:rPr>
                            </w:pPr>
                            <w:bookmarkStart w:id="64" w:name="_Ref451800425"/>
                            <w:r>
                              <w:t xml:space="preserve">Graphique  </w:t>
                            </w:r>
                            <w:fldSimple w:instr=" SEQ Graphique_ \* ARABIC ">
                              <w:r>
                                <w:rPr>
                                  <w:noProof/>
                                </w:rPr>
                                <w:t>17</w:t>
                              </w:r>
                            </w:fldSimple>
                            <w:bookmarkEnd w:id="64"/>
                            <w:r>
                              <w:t xml:space="preserve"> : Pyramide des âges des entreprises du secteur conseil en informatique en 2014 en France, par forme juridique et par taille d'effectif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C1E4A" id="Text Box 13" o:spid="_x0000_s1041" type="#_x0000_t202" style="position:absolute;margin-left:-3.2pt;margin-top:451.9pt;width:715.15pt;height: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sbfQ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" stroked="f">
                <v:textbox style="mso-fit-shape-to-text:t" inset="0,0,0,0">
                  <w:txbxContent>
                    <w:p w14:paraId="7FFC1E93" w14:textId="77777777" w:rsidR="00CB4331" w:rsidRPr="00620C35" w:rsidRDefault="00CB4331" w:rsidP="00F37521">
                      <w:pPr>
                        <w:pStyle w:val="Caption"/>
                        <w:rPr>
                          <w:noProof/>
                          <w:kern w:val="28"/>
                        </w:rPr>
                      </w:pPr>
                      <w:bookmarkStart w:id="65" w:name="_Ref451800425"/>
                      <w:r>
                        <w:t xml:space="preserve">Graphique  </w:t>
                      </w:r>
                      <w:fldSimple w:instr=" SEQ Graphique_ \* ARABIC ">
                        <w:r>
                          <w:rPr>
                            <w:noProof/>
                          </w:rPr>
                          <w:t>17</w:t>
                        </w:r>
                      </w:fldSimple>
                      <w:bookmarkEnd w:id="65"/>
                      <w:r>
                        <w:t xml:space="preserve"> : Pyramide des âges des entreprises du secteur conseil en informatique en 2014 en France, par forme juridique et par taille d'effectif</w:t>
                      </w:r>
                    </w:p>
                  </w:txbxContent>
                </v:textbox>
                <w10:wrap type="tight"/>
              </v:shape>
            </w:pict>
          </mc:Fallback>
        </mc:AlternateContent>
      </w:r>
      <w:r w:rsidR="00F37521">
        <w:rPr>
          <w:noProof/>
          <w:kern w:val="28"/>
        </w:rPr>
        <w:drawing>
          <wp:anchor distT="0" distB="0" distL="114300" distR="114300" simplePos="0" relativeHeight="251666432" behindDoc="1" locked="0" layoutInCell="1" allowOverlap="1" wp14:anchorId="7FFC1E4B" wp14:editId="7FFC1E4C">
            <wp:simplePos x="0" y="0"/>
            <wp:positionH relativeFrom="column">
              <wp:posOffset>-40640</wp:posOffset>
            </wp:positionH>
            <wp:positionV relativeFrom="paragraph">
              <wp:posOffset>-388620</wp:posOffset>
            </wp:positionV>
            <wp:extent cx="9256395" cy="6070600"/>
            <wp:effectExtent l="19050" t="0" r="1905" b="0"/>
            <wp:wrapTight wrapText="bothSides">
              <wp:wrapPolygon edited="0">
                <wp:start x="-44" y="0"/>
                <wp:lineTo x="-44" y="21555"/>
                <wp:lineTo x="21604" y="21555"/>
                <wp:lineTo x="21604" y="0"/>
                <wp:lineTo x="-44"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r w:rsidR="00F37521">
        <w:rPr>
          <w:kern w:val="28"/>
        </w:rPr>
        <w:br w:type="page"/>
      </w:r>
    </w:p>
    <w:p w14:paraId="7FFC1D0E" w14:textId="77777777" w:rsidR="00FC4333" w:rsidRDefault="005A1115" w:rsidP="00194B82">
      <w:pPr>
        <w:pStyle w:val="Heading1"/>
      </w:pPr>
      <w:r>
        <w:lastRenderedPageBreak/>
        <w:t xml:space="preserve">  </w:t>
      </w:r>
      <w:bookmarkStart w:id="66" w:name="_Toc454465580"/>
      <w:r w:rsidR="00194B82">
        <w:t xml:space="preserve">Situation concurrentielle </w:t>
      </w:r>
      <w:r w:rsidR="0029334A">
        <w:t xml:space="preserve">de </w:t>
      </w:r>
      <w:r w:rsidR="00194B82">
        <w:t xml:space="preserve">M. </w:t>
      </w:r>
      <w:r w:rsidR="0029334A">
        <w:t>Porter</w:t>
      </w:r>
      <w:bookmarkEnd w:id="66"/>
    </w:p>
    <w:p w14:paraId="7FFC1D0F" w14:textId="77777777" w:rsidR="00443015" w:rsidRDefault="002C0982" w:rsidP="00920786">
      <w:r>
        <w:t xml:space="preserve">L’analyse de la situation concurrentielle est représentée dans le </w:t>
      </w:r>
      <w:r w:rsidR="00920786">
        <w:t xml:space="preserve">graphique à la fin de cette section. </w:t>
      </w:r>
      <w:r w:rsidR="0029334A">
        <w:t xml:space="preserve"> </w:t>
      </w:r>
    </w:p>
    <w:p w14:paraId="7FFC1D10" w14:textId="77777777" w:rsidR="006355E2" w:rsidRDefault="006355E2" w:rsidP="006355E2">
      <w:pPr>
        <w:pStyle w:val="Heading2"/>
      </w:pPr>
      <w:bookmarkStart w:id="67" w:name="_Toc454465581"/>
      <w:r>
        <w:t>Les clients</w:t>
      </w:r>
      <w:bookmarkEnd w:id="67"/>
      <w:r>
        <w:t xml:space="preserve"> </w:t>
      </w:r>
    </w:p>
    <w:p w14:paraId="7FFC1D11" w14:textId="77777777" w:rsidR="00A903F2" w:rsidRDefault="006355E2" w:rsidP="006355E2">
      <w:r>
        <w:t>Ce sont les entreprises ayant besoin de systèmes d’information dans leur métier (pratiquement tous les autres secteurs d’activité)</w:t>
      </w:r>
      <w:r w:rsidR="00A903F2">
        <w:t xml:space="preserve">. Les principaux secteurs clients sont : </w:t>
      </w:r>
    </w:p>
    <w:p w14:paraId="7FFC1D12" w14:textId="77777777" w:rsidR="00A903F2" w:rsidRPr="008C1569" w:rsidRDefault="00A903F2" w:rsidP="00A903F2">
      <w:pPr>
        <w:pStyle w:val="ListParagraph"/>
        <w:numPr>
          <w:ilvl w:val="0"/>
          <w:numId w:val="26"/>
        </w:numPr>
      </w:pPr>
      <w:r w:rsidRPr="008C1569">
        <w:rPr>
          <w:rFonts w:eastAsia="Calibri"/>
        </w:rPr>
        <w:t xml:space="preserve">Les banques et les assurances, </w:t>
      </w:r>
    </w:p>
    <w:p w14:paraId="7FFC1D13" w14:textId="77777777" w:rsidR="00A903F2" w:rsidRDefault="00A903F2" w:rsidP="00A903F2">
      <w:pPr>
        <w:pStyle w:val="ListParagraph"/>
        <w:numPr>
          <w:ilvl w:val="0"/>
          <w:numId w:val="26"/>
        </w:numPr>
      </w:pPr>
      <w:r w:rsidRPr="008C4FD6">
        <w:t xml:space="preserve">Le secteur public, </w:t>
      </w:r>
    </w:p>
    <w:p w14:paraId="7FFC1D14" w14:textId="77777777" w:rsidR="00A903F2" w:rsidRDefault="00A903F2" w:rsidP="00A903F2">
      <w:pPr>
        <w:pStyle w:val="ListParagraph"/>
        <w:numPr>
          <w:ilvl w:val="0"/>
          <w:numId w:val="26"/>
        </w:numPr>
      </w:pPr>
      <w:r w:rsidRPr="008C4FD6">
        <w:t xml:space="preserve">L’industrie, </w:t>
      </w:r>
    </w:p>
    <w:p w14:paraId="7FFC1D15" w14:textId="77777777" w:rsidR="00A903F2" w:rsidRDefault="00A903F2" w:rsidP="00A903F2">
      <w:pPr>
        <w:pStyle w:val="ListParagraph"/>
        <w:numPr>
          <w:ilvl w:val="0"/>
          <w:numId w:val="26"/>
        </w:numPr>
      </w:pPr>
      <w:r w:rsidRPr="008C4FD6">
        <w:t xml:space="preserve">Le commerce </w:t>
      </w:r>
      <w:r>
        <w:t xml:space="preserve">de gros et de détail, </w:t>
      </w:r>
    </w:p>
    <w:p w14:paraId="7FFC1D16" w14:textId="77777777" w:rsidR="00A903F2" w:rsidRDefault="00A903F2" w:rsidP="00A903F2">
      <w:pPr>
        <w:pStyle w:val="ListParagraph"/>
        <w:numPr>
          <w:ilvl w:val="0"/>
          <w:numId w:val="26"/>
        </w:numPr>
      </w:pPr>
      <w:r>
        <w:t>Les télécoms,</w:t>
      </w:r>
      <w:r w:rsidRPr="008C4FD6">
        <w:t xml:space="preserve"> </w:t>
      </w:r>
    </w:p>
    <w:p w14:paraId="7FFC1D17" w14:textId="77777777" w:rsidR="00A903F2" w:rsidRDefault="00A903F2" w:rsidP="00A903F2">
      <w:pPr>
        <w:pStyle w:val="ListParagraph"/>
        <w:numPr>
          <w:ilvl w:val="0"/>
          <w:numId w:val="26"/>
        </w:numPr>
      </w:pPr>
      <w:r w:rsidRPr="008C4FD6">
        <w:t xml:space="preserve">L’énergie. </w:t>
      </w:r>
    </w:p>
    <w:p w14:paraId="7FFC1D18" w14:textId="77777777" w:rsidR="006355E2" w:rsidRDefault="00A903F2" w:rsidP="00A903F2">
      <w:r>
        <w:t xml:space="preserve">Cf. le Graphique  </w:t>
      </w:r>
      <w:r w:rsidR="00567BB5">
        <w:fldChar w:fldCharType="begin"/>
      </w:r>
      <w:r w:rsidR="007E7518">
        <w:instrText xml:space="preserve"> SEQ Graphique_ \* ARABIC </w:instrText>
      </w:r>
      <w:r w:rsidR="00567BB5">
        <w:fldChar w:fldCharType="separate"/>
      </w:r>
      <w:r w:rsidR="00CB4331">
        <w:rPr>
          <w:noProof/>
        </w:rPr>
        <w:t>18</w:t>
      </w:r>
      <w:r w:rsidR="00567BB5">
        <w:rPr>
          <w:noProof/>
        </w:rPr>
        <w:fldChar w:fldCharType="end"/>
      </w:r>
      <w:r>
        <w:rPr>
          <w:noProof/>
        </w:rPr>
        <w:t xml:space="preserve"> pour plus de détails sur les principaux secteurs </w:t>
      </w:r>
      <w:r>
        <w:t xml:space="preserve">clients. </w:t>
      </w:r>
    </w:p>
    <w:p w14:paraId="7FFC1D19" w14:textId="77777777" w:rsidR="00443015" w:rsidRDefault="00443015" w:rsidP="00492605">
      <w:pPr>
        <w:pStyle w:val="Heading2"/>
      </w:pPr>
      <w:bookmarkStart w:id="68" w:name="_Toc454465582"/>
      <w:r>
        <w:t>Les fournisseurs</w:t>
      </w:r>
      <w:bookmarkEnd w:id="68"/>
      <w:r>
        <w:t xml:space="preserve"> </w:t>
      </w:r>
    </w:p>
    <w:p w14:paraId="7FFC1D1A" w14:textId="77777777" w:rsidR="00443015" w:rsidRDefault="0029334A" w:rsidP="00BF3C54">
      <w:r>
        <w:t>Ce sont les consultants</w:t>
      </w:r>
      <w:r w:rsidR="00BF3C54">
        <w:t xml:space="preserve">. </w:t>
      </w:r>
    </w:p>
    <w:p w14:paraId="7FFC1D1B" w14:textId="77777777" w:rsidR="0029334A" w:rsidRDefault="006355E2" w:rsidP="006355E2">
      <w:pPr>
        <w:pStyle w:val="Heading2"/>
      </w:pPr>
      <w:bookmarkStart w:id="69" w:name="_Toc454465583"/>
      <w:r>
        <w:t>La concurrence</w:t>
      </w:r>
      <w:bookmarkEnd w:id="69"/>
      <w:r>
        <w:t xml:space="preserve"> </w:t>
      </w:r>
    </w:p>
    <w:p w14:paraId="7FFC1D1C" w14:textId="77777777" w:rsidR="006355E2" w:rsidRDefault="006355E2" w:rsidP="00BF3C54">
      <w:r>
        <w:t>Comme mentionné à l’introduction au niveau du paragraphe « </w:t>
      </w:r>
      <w:r w:rsidR="00567BB5">
        <w:fldChar w:fldCharType="begin"/>
      </w:r>
      <w:r>
        <w:instrText xml:space="preserve"> REF _Ref451822261 \h </w:instrText>
      </w:r>
      <w:r w:rsidR="00567BB5">
        <w:fldChar w:fldCharType="separate"/>
      </w:r>
      <w:r w:rsidR="00CB4331">
        <w:t>La concurrence</w:t>
      </w:r>
      <w:r w:rsidR="00567BB5">
        <w:fldChar w:fldCharType="end"/>
      </w:r>
      <w:r>
        <w:t xml:space="preserve"> », nous avons identifié 5 groupes stratégiques en se basant sur les stratégies génériques. </w:t>
      </w:r>
      <w:r w:rsidR="00BF3C54">
        <w:t xml:space="preserve">Nous avons analysé l’activité et le positionnement des 100 premières entreprises du secteur et nous les avons affectés aux 5 groupes stratégiques suivants :  </w:t>
      </w:r>
    </w:p>
    <w:p w14:paraId="7FFC1D1D" w14:textId="77777777" w:rsidR="00BF3C54" w:rsidRDefault="00BF3C54" w:rsidP="00BF3C54">
      <w:pPr>
        <w:pStyle w:val="ListParagraph"/>
        <w:numPr>
          <w:ilvl w:val="0"/>
          <w:numId w:val="26"/>
        </w:numPr>
      </w:pPr>
      <w:r>
        <w:t xml:space="preserve">Les grands généralistes, </w:t>
      </w:r>
    </w:p>
    <w:p w14:paraId="7FFC1D1E" w14:textId="77777777" w:rsidR="00BF3C54" w:rsidRDefault="00BF3C54" w:rsidP="00BF3C54">
      <w:pPr>
        <w:pStyle w:val="ListParagraph"/>
        <w:numPr>
          <w:ilvl w:val="0"/>
          <w:numId w:val="26"/>
        </w:numPr>
      </w:pPr>
      <w:r>
        <w:t>Les petits généralistes,</w:t>
      </w:r>
    </w:p>
    <w:p w14:paraId="7FFC1D1F" w14:textId="77777777" w:rsidR="00BF3C54" w:rsidRDefault="00BF3C54" w:rsidP="00BF3C54">
      <w:pPr>
        <w:pStyle w:val="ListParagraph"/>
        <w:numPr>
          <w:ilvl w:val="0"/>
          <w:numId w:val="26"/>
        </w:numPr>
      </w:pPr>
      <w:r>
        <w:t>Les spécialistes métier,</w:t>
      </w:r>
    </w:p>
    <w:p w14:paraId="7FFC1D20" w14:textId="77777777" w:rsidR="00BF3C54" w:rsidRDefault="00BF3C54" w:rsidP="00BF3C54">
      <w:pPr>
        <w:pStyle w:val="ListParagraph"/>
        <w:numPr>
          <w:ilvl w:val="0"/>
          <w:numId w:val="26"/>
        </w:numPr>
      </w:pPr>
      <w:r>
        <w:t xml:space="preserve">Les experts techniques, </w:t>
      </w:r>
    </w:p>
    <w:p w14:paraId="7FFC1D21" w14:textId="77777777" w:rsidR="00BF3C54" w:rsidRDefault="00BF3C54" w:rsidP="00BF3C54">
      <w:pPr>
        <w:pStyle w:val="ListParagraph"/>
        <w:numPr>
          <w:ilvl w:val="0"/>
          <w:numId w:val="26"/>
        </w:numPr>
      </w:pPr>
      <w:r>
        <w:t xml:space="preserve">Les talents. </w:t>
      </w:r>
    </w:p>
    <w:p w14:paraId="7FFC1D22" w14:textId="77777777" w:rsidR="00BF3C54" w:rsidRDefault="00A903F2" w:rsidP="00A903F2">
      <w:r>
        <w:t>La liste des entreprises de chaque groupe est dans l’</w:t>
      </w:r>
      <w:r w:rsidR="00567BB5">
        <w:fldChar w:fldCharType="begin"/>
      </w:r>
      <w:r>
        <w:instrText xml:space="preserve"> REF _Ref451823138 \h </w:instrText>
      </w:r>
      <w:r w:rsidR="00567BB5">
        <w:fldChar w:fldCharType="separate"/>
      </w:r>
      <w:r w:rsidR="00CB4331">
        <w:t>Annexe</w:t>
      </w:r>
      <w:r w:rsidR="00567BB5">
        <w:fldChar w:fldCharType="end"/>
      </w:r>
      <w:r>
        <w:t xml:space="preserve"> de ce document. </w:t>
      </w:r>
    </w:p>
    <w:p w14:paraId="7FFC1D23" w14:textId="77777777" w:rsidR="00BF3C54" w:rsidRDefault="00BF3C54" w:rsidP="00BF3C54">
      <w:pPr>
        <w:pStyle w:val="Heading3"/>
      </w:pPr>
      <w:bookmarkStart w:id="70" w:name="_Toc451134008"/>
      <w:bookmarkStart w:id="71" w:name="_Toc454465584"/>
      <w:r>
        <w:lastRenderedPageBreak/>
        <w:t>Les stratégies de domination par les coûts (les grands généralistes)</w:t>
      </w:r>
      <w:bookmarkEnd w:id="70"/>
      <w:bookmarkEnd w:id="71"/>
      <w:r>
        <w:t xml:space="preserve"> </w:t>
      </w:r>
    </w:p>
    <w:p w14:paraId="7FFC1D24" w14:textId="77777777" w:rsidR="00BF3C54" w:rsidRDefault="00BF3C54" w:rsidP="00BF3C54">
      <w:pPr>
        <w:ind w:left="0"/>
      </w:pPr>
      <w:r>
        <w:t xml:space="preserve">Les grandes entreprises ayant accès aux contrats grand compte doivent optimiser les coûts informatiques de leurs clients surtout pour les prestations de services standardisées. Pour mettre en place cette stratégie on passe par plusieurs moyens d'optimisation des coûts : </w:t>
      </w:r>
    </w:p>
    <w:p w14:paraId="7FFC1D25" w14:textId="77777777" w:rsidR="00BF3C54" w:rsidRDefault="00BF3C54" w:rsidP="00BF3C54">
      <w:pPr>
        <w:pStyle w:val="ListParagraph"/>
        <w:numPr>
          <w:ilvl w:val="0"/>
          <w:numId w:val="37"/>
        </w:numPr>
      </w:pPr>
      <w:r>
        <w:t xml:space="preserve">Industrialisation des processus de service et mise en place d’un système de management d’équipes avec des méthodes Agiles et Lean, </w:t>
      </w:r>
    </w:p>
    <w:p w14:paraId="7FFC1D26" w14:textId="77777777" w:rsidR="00BF3C54" w:rsidRDefault="00BF3C54" w:rsidP="00BF3C54">
      <w:pPr>
        <w:pStyle w:val="ListParagraph"/>
        <w:numPr>
          <w:ilvl w:val="0"/>
          <w:numId w:val="37"/>
        </w:numPr>
      </w:pPr>
      <w:r>
        <w:t xml:space="preserve">Amélioration des méthodes de gestion de ressource humaine en fidélisant les consultants et en maîtrisant leurs taux de rotation, </w:t>
      </w:r>
    </w:p>
    <w:p w14:paraId="7FFC1D27" w14:textId="77777777" w:rsidR="00BF3C54" w:rsidRDefault="00BF3C54" w:rsidP="00BF3C54">
      <w:pPr>
        <w:pStyle w:val="ListParagraph"/>
        <w:numPr>
          <w:ilvl w:val="0"/>
          <w:numId w:val="37"/>
        </w:numPr>
      </w:pPr>
      <w:r>
        <w:t xml:space="preserve">Optimisation de la durée du go-to-market pour proposer une offre sur une nouvelle technologie avant les concurrents, </w:t>
      </w:r>
    </w:p>
    <w:p w14:paraId="7FFC1D28" w14:textId="77777777" w:rsidR="00BF3C54" w:rsidRDefault="00BF3C54" w:rsidP="00BF3C54">
      <w:pPr>
        <w:pStyle w:val="ListParagraph"/>
        <w:numPr>
          <w:ilvl w:val="0"/>
          <w:numId w:val="37"/>
        </w:numPr>
      </w:pPr>
      <w:r>
        <w:t xml:space="preserve">Optimisation des périodes de POC et d’avant-vente qui sont généralement offerts gratuitement pour les clients. Cette optimisation passe par la capitalisation des expériences précédentes des consultants,  </w:t>
      </w:r>
    </w:p>
    <w:p w14:paraId="7FFC1D29" w14:textId="77777777" w:rsidR="00BF3C54" w:rsidRPr="00DB6DBB" w:rsidRDefault="00BF3C54" w:rsidP="00BF3C54">
      <w:pPr>
        <w:pStyle w:val="ListParagraph"/>
        <w:numPr>
          <w:ilvl w:val="0"/>
          <w:numId w:val="37"/>
        </w:numPr>
      </w:pPr>
      <w:r>
        <w:t xml:space="preserve">Optimisation des coûts de main d’œuvre en sous-traitant une partie de travail à des filiales à l’étranger. </w:t>
      </w:r>
    </w:p>
    <w:p w14:paraId="7FFC1D2A" w14:textId="77777777" w:rsidR="00BF3C54" w:rsidRDefault="00BF3C54" w:rsidP="00BF3C54">
      <w:pPr>
        <w:pStyle w:val="Heading3"/>
      </w:pPr>
      <w:bookmarkStart w:id="72" w:name="_Toc451134009"/>
      <w:bookmarkStart w:id="73" w:name="_Toc454465585"/>
      <w:r>
        <w:t>Les stratégies de différenciation (les talents)</w:t>
      </w:r>
      <w:bookmarkEnd w:id="72"/>
      <w:bookmarkEnd w:id="73"/>
    </w:p>
    <w:p w14:paraId="7FFC1D2B" w14:textId="77777777" w:rsidR="00BF3C54" w:rsidRDefault="00BF3C54" w:rsidP="00BF3C54">
      <w:r>
        <w:t xml:space="preserve">Il s’agit de fournir des services de qualité à travers des consultants certifiés (ITIL, PMP, ISTQB, SAP, etc.) ou bien en offrant un package de services complémentaires pour mieux répondre aux besoins. </w:t>
      </w:r>
    </w:p>
    <w:p w14:paraId="7FFC1D2C" w14:textId="77777777" w:rsidR="00BF3C54" w:rsidRDefault="00BF3C54" w:rsidP="00BF3C54">
      <w:pPr>
        <w:pStyle w:val="Heading3"/>
      </w:pPr>
      <w:bookmarkStart w:id="74" w:name="_Toc451134010"/>
      <w:bookmarkStart w:id="75" w:name="_Toc454465586"/>
      <w:r>
        <w:t>Les stratégies de focalisation (les spécialistes et les experts)</w:t>
      </w:r>
      <w:bookmarkEnd w:id="74"/>
      <w:bookmarkEnd w:id="75"/>
      <w:r>
        <w:t xml:space="preserve"> </w:t>
      </w:r>
    </w:p>
    <w:p w14:paraId="7FFC1D2D" w14:textId="77777777" w:rsidR="00BF3C54" w:rsidRDefault="00BF3C54" w:rsidP="00BF3C54">
      <w:pPr>
        <w:pStyle w:val="Heading4"/>
      </w:pPr>
      <w:bookmarkStart w:id="76" w:name="_Toc451134011"/>
      <w:bookmarkStart w:id="77" w:name="_Toc454465587"/>
      <w:r>
        <w:t>Stratégies de niche</w:t>
      </w:r>
      <w:bookmarkEnd w:id="76"/>
      <w:bookmarkEnd w:id="77"/>
      <w:r>
        <w:t xml:space="preserve">  </w:t>
      </w:r>
    </w:p>
    <w:p w14:paraId="7FFC1D2E" w14:textId="77777777" w:rsidR="00BF3C54" w:rsidRDefault="00BF3C54" w:rsidP="00BF3C54">
      <w:r>
        <w:t xml:space="preserve">Ici il est possible de se focaliser sur un segment de marché. C’est le </w:t>
      </w:r>
      <w:r w:rsidRPr="003541D5">
        <w:rPr>
          <w:b/>
          <w:bCs/>
          <w:i/>
          <w:iCs/>
        </w:rPr>
        <w:t>groupe des spécialistes métier</w:t>
      </w:r>
      <w:r>
        <w:t xml:space="preserve">. Par exemple : </w:t>
      </w:r>
    </w:p>
    <w:p w14:paraId="7FFC1D2F" w14:textId="77777777" w:rsidR="00BF3C54" w:rsidRDefault="00BF3C54" w:rsidP="00BF3C54">
      <w:pPr>
        <w:pStyle w:val="ListParagraph"/>
        <w:numPr>
          <w:ilvl w:val="0"/>
          <w:numId w:val="36"/>
        </w:numPr>
      </w:pPr>
      <w:r w:rsidRPr="00DB6DBB">
        <w:t>Offrir un service de conseil pour les banques de détails en Île-de-France.</w:t>
      </w:r>
      <w:r>
        <w:t xml:space="preserve"> </w:t>
      </w:r>
    </w:p>
    <w:p w14:paraId="7FFC1D30" w14:textId="77777777" w:rsidR="00BF3C54" w:rsidRDefault="00BF3C54" w:rsidP="00BF3C54">
      <w:r>
        <w:t xml:space="preserve"> Il est possible aussi de se focaliser sur une offre de service. C’est le </w:t>
      </w:r>
      <w:r w:rsidRPr="003541D5">
        <w:rPr>
          <w:b/>
          <w:bCs/>
          <w:i/>
          <w:iCs/>
        </w:rPr>
        <w:t>groupe des experts technique</w:t>
      </w:r>
      <w:r>
        <w:t xml:space="preserve">. Par exemple : </w:t>
      </w:r>
    </w:p>
    <w:p w14:paraId="7FFC1D31" w14:textId="77777777" w:rsidR="00BF3C54" w:rsidRDefault="00BF3C54" w:rsidP="00BF3C54">
      <w:pPr>
        <w:pStyle w:val="ListParagraph"/>
        <w:numPr>
          <w:ilvl w:val="0"/>
          <w:numId w:val="36"/>
        </w:numPr>
      </w:pPr>
      <w:r w:rsidRPr="00DB6DBB">
        <w:t>Offrir un service de conseil en analyse de données pour les entreprises de transport de la région Rhône-Alpes</w:t>
      </w:r>
      <w:r>
        <w:t xml:space="preserve">. </w:t>
      </w:r>
    </w:p>
    <w:p w14:paraId="7FFC1D32" w14:textId="77777777" w:rsidR="00BF3C54" w:rsidRDefault="00BF3C54" w:rsidP="00BF3C54">
      <w:pPr>
        <w:pStyle w:val="Heading4"/>
      </w:pPr>
      <w:bookmarkStart w:id="78" w:name="_Toc451134012"/>
      <w:bookmarkStart w:id="79" w:name="_Toc454465588"/>
      <w:r>
        <w:t>Stratégies de focalisation plus large</w:t>
      </w:r>
      <w:bookmarkEnd w:id="78"/>
      <w:bookmarkEnd w:id="79"/>
      <w:r>
        <w:t xml:space="preserve"> </w:t>
      </w:r>
    </w:p>
    <w:p w14:paraId="7FFC1D33" w14:textId="77777777" w:rsidR="00BF3C54" w:rsidRDefault="00BF3C54" w:rsidP="00BF3C54">
      <w:r>
        <w:t xml:space="preserve">Il s’agit de se focaliser sur un segment de marché ou une offre de service et s’installer sur plusieurs endroits géographiques. Par exemple : </w:t>
      </w:r>
    </w:p>
    <w:p w14:paraId="7FFC1D34" w14:textId="77777777" w:rsidR="00BF3C54" w:rsidRDefault="00BF3C54" w:rsidP="00BF3C54">
      <w:pPr>
        <w:pStyle w:val="ListParagraph"/>
        <w:numPr>
          <w:ilvl w:val="0"/>
          <w:numId w:val="35"/>
        </w:numPr>
      </w:pPr>
      <w:r>
        <w:t xml:space="preserve">Offrir un service de conseil en SAP pour les entreprises de la grande distribution sur toute la France </w:t>
      </w:r>
    </w:p>
    <w:p w14:paraId="7FFC1D35" w14:textId="77777777" w:rsidR="00BF3C54" w:rsidRDefault="00BF3C54" w:rsidP="00BF3C54">
      <w:pPr>
        <w:pStyle w:val="ListParagraph"/>
        <w:numPr>
          <w:ilvl w:val="0"/>
          <w:numId w:val="35"/>
        </w:numPr>
      </w:pPr>
      <w:r>
        <w:t xml:space="preserve">Offrir un service d’analyse de données avec la solution SAS pour les entreprises de tous les secteurs en Île-de-France  </w:t>
      </w:r>
    </w:p>
    <w:p w14:paraId="7FFC1D36" w14:textId="77777777" w:rsidR="00BF3C54" w:rsidRDefault="00BF3C54" w:rsidP="00BF3C54">
      <w:r>
        <w:t xml:space="preserve">Généralement ce sont les entreprises du groupe des « petits généralistes » qui commencent avec cette stratégie. </w:t>
      </w:r>
    </w:p>
    <w:p w14:paraId="7FFC1D37" w14:textId="77777777" w:rsidR="00BF3C54" w:rsidRDefault="00BF3C54" w:rsidP="00BF3C54"/>
    <w:p w14:paraId="7FFC1D38" w14:textId="77777777" w:rsidR="00BF3C54" w:rsidRDefault="00BF3C54" w:rsidP="00BF3C54">
      <w:pPr>
        <w:pStyle w:val="Heading3"/>
      </w:pPr>
      <w:bookmarkStart w:id="80" w:name="_Toc451134013"/>
      <w:bookmarkStart w:id="81" w:name="_Toc454465589"/>
      <w:r>
        <w:lastRenderedPageBreak/>
        <w:t>Les stratégies mixtes (les petits généralistes)</w:t>
      </w:r>
      <w:bookmarkEnd w:id="80"/>
      <w:bookmarkEnd w:id="81"/>
      <w:r>
        <w:t xml:space="preserve"> </w:t>
      </w:r>
    </w:p>
    <w:p w14:paraId="7FFC1D39" w14:textId="77777777" w:rsidR="00704087" w:rsidRDefault="00BF3C54" w:rsidP="00215F73">
      <w:r>
        <w:t xml:space="preserve">Ce sont des entreprises qui sont sur le même chemin des grandes entreprises du groupe des généralistes mais qui n’ont pas accès aux grands comptes comme les grands généralistes. Ce sont des acteurs qui visent des PME et PMI et qui grandissent avec leurs clients pour devenir plus tard des grands généralistes. </w:t>
      </w:r>
    </w:p>
    <w:p w14:paraId="7FFC1D3A" w14:textId="77777777" w:rsidR="00215F73" w:rsidRDefault="00215F73" w:rsidP="00215F73"/>
    <w:p w14:paraId="7FFC1D3B" w14:textId="77777777" w:rsidR="00704087" w:rsidRDefault="00704087" w:rsidP="00704087">
      <w:pPr>
        <w:pStyle w:val="Heading2"/>
      </w:pPr>
      <w:bookmarkStart w:id="82" w:name="_Toc454465590"/>
      <w:r>
        <w:t>Entrants potentiels</w:t>
      </w:r>
      <w:bookmarkEnd w:id="82"/>
      <w:r>
        <w:t xml:space="preserve"> </w:t>
      </w:r>
    </w:p>
    <w:p w14:paraId="7FFC1D3C" w14:textId="77777777" w:rsidR="00704087" w:rsidRPr="00F21B4F" w:rsidRDefault="00492605" w:rsidP="00F21B4F">
      <w:r>
        <w:t>Nous avons identifié les réseaux de freelance et le réseau social professionnel Linkedin comme entrants potentiel qui risque d’ubériser</w:t>
      </w:r>
      <w:r w:rsidR="00D767D8">
        <w:fldChar w:fldCharType="begin"/>
      </w:r>
      <w:r w:rsidR="00D767D8">
        <w:instrText xml:space="preserve"> NOTEREF _Ref451821715 \h  \* MERGEFORMAT </w:instrText>
      </w:r>
      <w:r w:rsidR="00D767D8">
        <w:fldChar w:fldCharType="separate"/>
      </w:r>
      <w:r w:rsidR="00CB4331" w:rsidRPr="00CB4331">
        <w:rPr>
          <w:vertAlign w:val="superscript"/>
        </w:rPr>
        <w:t>20</w:t>
      </w:r>
      <w:r w:rsidR="00D767D8">
        <w:fldChar w:fldCharType="end"/>
      </w:r>
      <w:r>
        <w:t xml:space="preserve"> </w:t>
      </w:r>
      <w:r w:rsidR="00F21B4F">
        <w:t>les entreprises du secteur (ESN</w:t>
      </w:r>
      <w:r w:rsidR="00D767D8">
        <w:fldChar w:fldCharType="begin"/>
      </w:r>
      <w:r w:rsidR="00D767D8">
        <w:instrText xml:space="preserve"> NOTEREF _Ref451821764 \h  \* MERGEFORMAT </w:instrText>
      </w:r>
      <w:r w:rsidR="00D767D8">
        <w:fldChar w:fldCharType="separate"/>
      </w:r>
      <w:r w:rsidR="00CB4331">
        <w:t>3</w:t>
      </w:r>
      <w:r w:rsidR="00D767D8">
        <w:fldChar w:fldCharType="end"/>
      </w:r>
      <w:r w:rsidR="00F21B4F">
        <w:t>). Cf. paragraphe « </w:t>
      </w:r>
      <w:r w:rsidR="00567BB5">
        <w:fldChar w:fldCharType="begin"/>
      </w:r>
      <w:r w:rsidR="00F21B4F">
        <w:instrText xml:space="preserve"> REF _Ref451821837 \h </w:instrText>
      </w:r>
      <w:r w:rsidR="00567BB5">
        <w:fldChar w:fldCharType="separate"/>
      </w:r>
      <w:r w:rsidR="00CB4331">
        <w:t>Analyse prospective</w:t>
      </w:r>
      <w:r w:rsidR="00567BB5">
        <w:fldChar w:fldCharType="end"/>
      </w:r>
      <w:r w:rsidR="00F21B4F">
        <w:t xml:space="preserve"> » pour les détails de notre analyse. </w:t>
      </w:r>
    </w:p>
    <w:p w14:paraId="7FFC1D3D" w14:textId="77777777" w:rsidR="00704087" w:rsidRDefault="00704087" w:rsidP="009C261D"/>
    <w:p w14:paraId="7FFC1D3E" w14:textId="77777777" w:rsidR="00704087" w:rsidRDefault="00704087" w:rsidP="00704087">
      <w:pPr>
        <w:pStyle w:val="Heading2"/>
      </w:pPr>
      <w:bookmarkStart w:id="83" w:name="_Toc454465591"/>
      <w:r>
        <w:t>Substituts</w:t>
      </w:r>
      <w:bookmarkEnd w:id="83"/>
      <w:r>
        <w:t xml:space="preserve"> </w:t>
      </w:r>
    </w:p>
    <w:p w14:paraId="7FFC1D3F" w14:textId="77777777" w:rsidR="00704087" w:rsidRDefault="006355E2" w:rsidP="006355E2">
      <w:r>
        <w:t xml:space="preserve">Le conseil en informatique peut être substitué tout simplement par l’absence de conseil ! Cela veut dire que les clients peuvent demander directement aux développeurs et techniciens de mettre en place des systèmes d’information et c’est ces derniers qui vont faire les conceptions et les architectures en développant en même temps. Cette approche existe mais très risquée et conduit souvent à des systèmes non maintenables et très peu efficaces. En effet, les développeurs manquent de vision globale et business pour pouvoir proposer directement un service qui répond parfaitement aux besoins des clients.  </w:t>
      </w:r>
    </w:p>
    <w:p w14:paraId="7FFC1D40" w14:textId="77777777" w:rsidR="00525A8F" w:rsidRDefault="00525A8F" w:rsidP="006355E2">
      <w:r>
        <w:t xml:space="preserve">Le recours aux consultants extérieures peut aussi être substitué par </w:t>
      </w:r>
    </w:p>
    <w:p w14:paraId="7FFC1D41" w14:textId="77777777" w:rsidR="006355E2" w:rsidRDefault="006355E2" w:rsidP="006355E2">
      <w:pPr>
        <w:pStyle w:val="Heading2"/>
      </w:pPr>
      <w:bookmarkStart w:id="84" w:name="_Toc454465592"/>
      <w:r>
        <w:t xml:space="preserve">Le cadre réglementaire </w:t>
      </w:r>
      <w:r w:rsidR="00215F73">
        <w:t>lié aux systèmes d’information</w:t>
      </w:r>
      <w:bookmarkEnd w:id="84"/>
      <w:r w:rsidR="00215F73">
        <w:t xml:space="preserve"> </w:t>
      </w:r>
    </w:p>
    <w:p w14:paraId="7FFC1D42" w14:textId="77777777" w:rsidR="00215F73" w:rsidRDefault="00215F73" w:rsidP="00525A8F">
      <w:pPr>
        <w:pStyle w:val="Heading3"/>
      </w:pPr>
      <w:bookmarkStart w:id="85" w:name="_Toc454465593"/>
      <w:r>
        <w:t>Les sources de droit</w:t>
      </w:r>
      <w:bookmarkEnd w:id="85"/>
      <w:r>
        <w:t xml:space="preserve"> </w:t>
      </w:r>
    </w:p>
    <w:p w14:paraId="7FFC1D43" w14:textId="77777777" w:rsidR="00215F73" w:rsidRDefault="00A37E4E" w:rsidP="00A0111D">
      <w:r>
        <w:t>Il y a d’abord un cœur de métier qui va dépendre de lui-même des sources de droit générale comme le droit fiscal ou social. Ces sources s’appliquent à toutes les organisations. Il y a aussi des sources spécifiques à chaque métier par exemple dans l’industrie pharmaceutique ou nucléaire. Ces sources spécifiques peuvent affecter aussi les règles de gestion des systèmes d’information. Par exemple ces codes peuvent préciser quel</w:t>
      </w:r>
      <w:r w:rsidR="00A0111D">
        <w:t>le</w:t>
      </w:r>
      <w:r>
        <w:t xml:space="preserve"> sont les données qu’il faut sauvegarder, sous quel format et pendant quelle durée. </w:t>
      </w:r>
      <w:r w:rsidR="00A0111D">
        <w:t xml:space="preserve">Donc en fonction du métier. Les sources de droit liées aux systèmes d’information vont se retrouver par petit « morceaux » dans plusieurs publications. </w:t>
      </w:r>
    </w:p>
    <w:p w14:paraId="7FFC1D44" w14:textId="77777777" w:rsidR="00A0111D" w:rsidRDefault="00A0111D" w:rsidP="00FE03FC">
      <w:r>
        <w:t>En plus de ces sources de droit, les systèmes d’information vont dépendre aussi d’un certain nombre de règlements : par exemple SOX, BASLE, S</w:t>
      </w:r>
      <w:r w:rsidR="00FE03FC">
        <w:t>OLVENCY</w:t>
      </w:r>
      <w:r>
        <w:t xml:space="preserve"> pour les banques et assurances. </w:t>
      </w:r>
    </w:p>
    <w:p w14:paraId="7FFC1D45" w14:textId="77777777" w:rsidR="00A0111D" w:rsidRDefault="00A0111D" w:rsidP="00FE03FC">
      <w:r>
        <w:t xml:space="preserve">De plus, </w:t>
      </w:r>
      <w:r w:rsidR="00FE03FC">
        <w:t>aujourd’hui</w:t>
      </w:r>
      <w:r>
        <w:t xml:space="preserve"> le monde </w:t>
      </w:r>
      <w:r w:rsidR="00FE03FC">
        <w:t xml:space="preserve">est </w:t>
      </w:r>
      <w:r>
        <w:t>connecté et de plus en plus « mon</w:t>
      </w:r>
      <w:r w:rsidR="00FE03FC">
        <w:t>di</w:t>
      </w:r>
      <w:r>
        <w:t>alisé »</w:t>
      </w:r>
      <w:r w:rsidR="00FE03FC">
        <w:t xml:space="preserve"> et il faudra connaitre les obligations spécifiques et les droits des SI propre à chaque pays. </w:t>
      </w:r>
    </w:p>
    <w:p w14:paraId="7FFC1D46" w14:textId="77777777" w:rsidR="00FE03FC" w:rsidRDefault="00FE03FC" w:rsidP="008358B6">
      <w:r w:rsidRPr="008358B6">
        <w:rPr>
          <w:b/>
          <w:bCs/>
        </w:rPr>
        <w:lastRenderedPageBreak/>
        <w:t>La première difficulté pour les consultants</w:t>
      </w:r>
      <w:r>
        <w:t>, pour pouvoir donner des conseils pertinentes et efficaces, est de connaitre et de regrouper ces sources de droit.</w:t>
      </w:r>
      <w:r w:rsidR="008358B6">
        <w:t xml:space="preserve"> </w:t>
      </w:r>
      <w:r>
        <w:t xml:space="preserve">Une autre difficulté est que souvent la technologie avance plus vite que la législation des lois et des règles juridiques. Il arrive souvent qu’on est amené à mettre en place un nouveau système d’information sans qu’il y a déjà des règles juridiques pour le cadrer. Il faudra donc être en veille continue pour pouvoir adapter le SI. </w:t>
      </w:r>
    </w:p>
    <w:p w14:paraId="7FFC1D47" w14:textId="77777777" w:rsidR="00215F73" w:rsidRDefault="00215F73" w:rsidP="00215F73">
      <w:pPr>
        <w:pStyle w:val="Heading3"/>
      </w:pPr>
      <w:bookmarkStart w:id="86" w:name="_Toc454465594"/>
      <w:r>
        <w:t>Les menaces juridiques</w:t>
      </w:r>
      <w:bookmarkEnd w:id="86"/>
      <w:r>
        <w:t xml:space="preserve"> </w:t>
      </w:r>
    </w:p>
    <w:p w14:paraId="7FFC1D48" w14:textId="77777777" w:rsidR="00995AC0" w:rsidRDefault="00995AC0" w:rsidP="00995AC0">
      <w:r>
        <w:t xml:space="preserve">Certaines menaces ont pour origines interne liées aux comportements des salariés. D’autres menaces sont externes. </w:t>
      </w:r>
    </w:p>
    <w:p w14:paraId="7FFC1D49" w14:textId="77777777" w:rsidR="00215F73" w:rsidRDefault="008358B6" w:rsidP="00383C6A">
      <w:pPr>
        <w:pStyle w:val="ListParagraph"/>
        <w:numPr>
          <w:ilvl w:val="0"/>
          <w:numId w:val="26"/>
        </w:numPr>
      </w:pPr>
      <w:r>
        <w:t>La fuite de données : certaines données sensibles risquent d’être accessibles depuis l’extérieure</w:t>
      </w:r>
      <w:r w:rsidR="00383C6A">
        <w:t xml:space="preserve">, </w:t>
      </w:r>
      <w:r>
        <w:t xml:space="preserve"> </w:t>
      </w:r>
    </w:p>
    <w:p w14:paraId="7FFC1D4A" w14:textId="77777777" w:rsidR="008358B6" w:rsidRDefault="008358B6" w:rsidP="00383C6A">
      <w:pPr>
        <w:pStyle w:val="ListParagraph"/>
        <w:numPr>
          <w:ilvl w:val="0"/>
          <w:numId w:val="26"/>
        </w:numPr>
      </w:pPr>
      <w:r>
        <w:t>L</w:t>
      </w:r>
      <w:r w:rsidR="00383C6A">
        <w:t>es canaux de communication</w:t>
      </w:r>
      <w:r>
        <w:t> : la responsabilité pénale de l’entreprise est engagée si un des salariés utilise les moyens de communication de l’entreprise avec des propos illicites</w:t>
      </w:r>
      <w:r w:rsidR="00383C6A">
        <w:t xml:space="preserve">. </w:t>
      </w:r>
      <w:r>
        <w:t xml:space="preserve"> </w:t>
      </w:r>
    </w:p>
    <w:p w14:paraId="7FFC1D4B" w14:textId="77777777" w:rsidR="008358B6" w:rsidRDefault="00383C6A" w:rsidP="00383C6A">
      <w:pPr>
        <w:pStyle w:val="ListParagraph"/>
        <w:numPr>
          <w:ilvl w:val="0"/>
          <w:numId w:val="26"/>
        </w:numPr>
      </w:pPr>
      <w:r>
        <w:t xml:space="preserve">L’abus d’usage : par exemple utilisation abusive de la bande passante à travers le système d’information de l’entreprise, </w:t>
      </w:r>
    </w:p>
    <w:p w14:paraId="7FFC1D4C" w14:textId="77777777" w:rsidR="00383C6A" w:rsidRDefault="00383C6A" w:rsidP="00383C6A">
      <w:pPr>
        <w:pStyle w:val="ListParagraph"/>
        <w:numPr>
          <w:ilvl w:val="0"/>
          <w:numId w:val="26"/>
        </w:numPr>
      </w:pPr>
      <w:r>
        <w:t xml:space="preserve">Le déploiement de logiciels sans licence, </w:t>
      </w:r>
    </w:p>
    <w:p w14:paraId="7FFC1D4D" w14:textId="77777777" w:rsidR="00995AC0" w:rsidRDefault="00383C6A" w:rsidP="00995AC0">
      <w:pPr>
        <w:pStyle w:val="ListParagraph"/>
        <w:numPr>
          <w:ilvl w:val="0"/>
          <w:numId w:val="26"/>
        </w:numPr>
      </w:pPr>
      <w:r>
        <w:t xml:space="preserve">Utilisation d’images et vidéos non libres de droit : souvent pour faire des présentations et des communications, les salariés risquent d’utiliser des ressources multimédia mais qui ne sont pas libre de droit et de stocker ces contenus dans le système d’information de l’entreprise. Les ayant-droit peuvent se retourner contre l’entreprise. </w:t>
      </w:r>
    </w:p>
    <w:p w14:paraId="7FFC1D4E" w14:textId="77777777" w:rsidR="00995AC0" w:rsidRDefault="00995AC0" w:rsidP="00995AC0">
      <w:pPr>
        <w:pStyle w:val="ListParagraph"/>
        <w:numPr>
          <w:ilvl w:val="0"/>
          <w:numId w:val="26"/>
        </w:numPr>
      </w:pPr>
      <w:r>
        <w:t xml:space="preserve">Accès aux sites interdits par la loi. </w:t>
      </w:r>
    </w:p>
    <w:p w14:paraId="7FFC1D4F" w14:textId="77777777" w:rsidR="00995AC0" w:rsidRDefault="00995AC0" w:rsidP="00995AC0">
      <w:pPr>
        <w:pStyle w:val="ListParagraph"/>
        <w:numPr>
          <w:ilvl w:val="0"/>
          <w:numId w:val="26"/>
        </w:numPr>
      </w:pPr>
      <w:r>
        <w:t xml:space="preserve">Tentative de pirater un système d’information externe en utilisant les outils informatiques internes, </w:t>
      </w:r>
    </w:p>
    <w:p w14:paraId="7FFC1D50" w14:textId="77777777" w:rsidR="00995AC0" w:rsidRDefault="00995AC0" w:rsidP="00995AC0">
      <w:pPr>
        <w:pStyle w:val="ListParagraph"/>
        <w:numPr>
          <w:ilvl w:val="0"/>
          <w:numId w:val="26"/>
        </w:numPr>
      </w:pPr>
      <w:r>
        <w:t xml:space="preserve">Risque d’être victime de pirates externes, </w:t>
      </w:r>
    </w:p>
    <w:p w14:paraId="7FFC1D51" w14:textId="77777777" w:rsidR="00995AC0" w:rsidRDefault="00995AC0" w:rsidP="00995AC0">
      <w:pPr>
        <w:pStyle w:val="ListParagraph"/>
        <w:numPr>
          <w:ilvl w:val="0"/>
          <w:numId w:val="26"/>
        </w:numPr>
      </w:pPr>
      <w:r>
        <w:t>Le déni de service : qui consiste au blocage du SI en cas d’incident technique et de l’arrêt de certains processus informatisés. Un SLA</w:t>
      </w:r>
      <w:r>
        <w:rPr>
          <w:rStyle w:val="FootnoteReference"/>
        </w:rPr>
        <w:footnoteReference w:id="18"/>
      </w:r>
      <w:r>
        <w:t xml:space="preserve"> peut être signé entre l’entreprise et ses partenaires ou clients. Il faudra donc penser dès la conception du SI à sécuriser le niveau de service. </w:t>
      </w:r>
    </w:p>
    <w:p w14:paraId="7FFC1D52" w14:textId="77777777" w:rsidR="00215F73" w:rsidRDefault="00215F73" w:rsidP="00995AC0">
      <w:pPr>
        <w:pStyle w:val="Heading3"/>
      </w:pPr>
      <w:bookmarkStart w:id="87" w:name="_Toc454465595"/>
      <w:r>
        <w:t>Protection contre les menaces</w:t>
      </w:r>
      <w:bookmarkEnd w:id="87"/>
      <w:r>
        <w:t xml:space="preserve"> </w:t>
      </w:r>
    </w:p>
    <w:p w14:paraId="7FFC1D53" w14:textId="77777777" w:rsidR="00C61DF3" w:rsidRDefault="00995AC0" w:rsidP="00C61DF3">
      <w:r>
        <w:t>Le rôle des consultants est d</w:t>
      </w:r>
      <w:r w:rsidR="00C61DF3">
        <w:t xml:space="preserve">’aider ses clients pour : </w:t>
      </w:r>
    </w:p>
    <w:p w14:paraId="7FFC1D54" w14:textId="77777777" w:rsidR="00215F73" w:rsidRDefault="00C61DF3" w:rsidP="00C61DF3">
      <w:pPr>
        <w:pStyle w:val="ListParagraph"/>
        <w:numPr>
          <w:ilvl w:val="0"/>
          <w:numId w:val="26"/>
        </w:numPr>
      </w:pPr>
      <w:r>
        <w:t>P</w:t>
      </w:r>
      <w:r w:rsidR="00995AC0">
        <w:t xml:space="preserve">roposer des solutions « secure by design » dès la conception du SI pour </w:t>
      </w:r>
      <w:r>
        <w:t xml:space="preserve">se sécuriser contre les menaces juridiques, </w:t>
      </w:r>
    </w:p>
    <w:p w14:paraId="7FFC1D55" w14:textId="77777777" w:rsidR="00C61DF3" w:rsidRDefault="00C61DF3" w:rsidP="00C61DF3">
      <w:pPr>
        <w:pStyle w:val="ListParagraph"/>
        <w:numPr>
          <w:ilvl w:val="0"/>
          <w:numId w:val="26"/>
        </w:numPr>
      </w:pPr>
      <w:r>
        <w:t xml:space="preserve">Mettre en place une charte informatique, </w:t>
      </w:r>
    </w:p>
    <w:p w14:paraId="7FFC1D56" w14:textId="77777777" w:rsidR="00C61DF3" w:rsidRDefault="00C61DF3" w:rsidP="00C61DF3">
      <w:pPr>
        <w:pStyle w:val="ListParagraph"/>
        <w:numPr>
          <w:ilvl w:val="0"/>
          <w:numId w:val="26"/>
        </w:numPr>
      </w:pPr>
      <w:r>
        <w:t xml:space="preserve">Déclarer les traitements automatisés auprès de la CNIL. </w:t>
      </w:r>
    </w:p>
    <w:p w14:paraId="7FFC1D57" w14:textId="77777777" w:rsidR="006355E2" w:rsidRDefault="00C61DF3" w:rsidP="00C61DF3">
      <w:pPr>
        <w:pStyle w:val="ListParagraph"/>
        <w:numPr>
          <w:ilvl w:val="0"/>
          <w:numId w:val="26"/>
        </w:numPr>
      </w:pPr>
      <w:r>
        <w:t>L</w:t>
      </w:r>
      <w:r w:rsidR="006355E2" w:rsidRPr="00C22AEB">
        <w:t xml:space="preserve">a </w:t>
      </w:r>
      <w:r w:rsidR="006355E2">
        <w:t>« </w:t>
      </w:r>
      <w:r w:rsidR="006355E2" w:rsidRPr="00C22AEB">
        <w:t>brevétisation</w:t>
      </w:r>
      <w:r w:rsidR="006355E2">
        <w:t> »</w:t>
      </w:r>
      <w:r w:rsidR="006355E2" w:rsidRPr="00C22AEB">
        <w:t xml:space="preserve"> des algorithmes informatique</w:t>
      </w:r>
      <w:r>
        <w:t>s</w:t>
      </w:r>
      <w:r w:rsidR="006355E2" w:rsidRPr="00C22AEB">
        <w:t>. Cet aspect</w:t>
      </w:r>
      <w:r>
        <w:t xml:space="preserve">, </w:t>
      </w:r>
      <w:r w:rsidRPr="00C22AEB">
        <w:t>promue par l'industrie américaine</w:t>
      </w:r>
      <w:r>
        <w:t>,</w:t>
      </w:r>
      <w:r w:rsidR="006355E2" w:rsidRPr="00C22AEB">
        <w:t xml:space="preserve"> n’est pas</w:t>
      </w:r>
      <w:r w:rsidR="006355E2">
        <w:t xml:space="preserve"> </w:t>
      </w:r>
      <w:r w:rsidR="006355E2" w:rsidRPr="00C22AEB">
        <w:t xml:space="preserve">développé encore en France. </w:t>
      </w:r>
    </w:p>
    <w:p w14:paraId="7FFC1D58" w14:textId="55348E06" w:rsidR="00215F73" w:rsidRDefault="00E51A1C" w:rsidP="00215F73">
      <w:r>
        <w:rPr>
          <w:noProof/>
        </w:rPr>
        <w:lastRenderedPageBreak/>
        <mc:AlternateContent>
          <mc:Choice Requires="wps">
            <w:drawing>
              <wp:anchor distT="0" distB="0" distL="114300" distR="114300" simplePos="0" relativeHeight="251671040" behindDoc="0" locked="0" layoutInCell="1" allowOverlap="1" wp14:anchorId="7FFC1E4D" wp14:editId="5EA403D9">
                <wp:simplePos x="0" y="0"/>
                <wp:positionH relativeFrom="column">
                  <wp:posOffset>289560</wp:posOffset>
                </wp:positionH>
                <wp:positionV relativeFrom="paragraph">
                  <wp:posOffset>262255</wp:posOffset>
                </wp:positionV>
                <wp:extent cx="1956435" cy="659130"/>
                <wp:effectExtent l="9525" t="6350" r="5715" b="1079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659130"/>
                        </a:xfrm>
                        <a:prstGeom prst="rect">
                          <a:avLst/>
                        </a:prstGeom>
                        <a:solidFill>
                          <a:srgbClr val="FFFFFF"/>
                        </a:solidFill>
                        <a:ln w="9525">
                          <a:solidFill>
                            <a:srgbClr val="000000"/>
                          </a:solidFill>
                          <a:miter lim="800000"/>
                          <a:headEnd/>
                          <a:tailEnd/>
                        </a:ln>
                      </wps:spPr>
                      <wps:txbx>
                        <w:txbxContent>
                          <w:p w14:paraId="7FFC1E94" w14:textId="77777777" w:rsidR="00CB4331" w:rsidRDefault="00CB4331">
                            <w:pPr>
                              <w:ind w:left="0"/>
                            </w:pPr>
                            <w:r>
                              <w:t>La taille des cercles indique l’importance de la pression sur le secteur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C1E4D" id="Text Box 20" o:spid="_x0000_s1042" type="#_x0000_t202" style="position:absolute;left:0;text-align:left;margin-left:22.8pt;margin-top:20.65pt;width:154.05pt;height:5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">
                <v:textbox>
                  <w:txbxContent>
                    <w:p w14:paraId="7FFC1E94" w14:textId="77777777" w:rsidR="00CB4331" w:rsidRDefault="00CB4331">
                      <w:pPr>
                        <w:ind w:left="0"/>
                      </w:pPr>
                      <w:r>
                        <w:t>La taille des cercles indique l’importance de la pression sur le secteur</w:t>
                      </w:r>
                    </w:p>
                  </w:txbxContent>
                </v:textbox>
              </v:shape>
            </w:pict>
          </mc:Fallback>
        </mc:AlternateContent>
      </w:r>
      <w:r w:rsidR="002C0982">
        <w:rPr>
          <w:noProof/>
        </w:rPr>
        <w:drawing>
          <wp:inline distT="0" distB="0" distL="0" distR="0" wp14:anchorId="7FFC1E4E" wp14:editId="7FFC1E4F">
            <wp:extent cx="9313545" cy="6442991"/>
            <wp:effectExtent l="57150" t="0" r="40005"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FFC1D59" w14:textId="77777777" w:rsidR="005A1115" w:rsidRDefault="005A1115" w:rsidP="005A1115">
      <w:pPr>
        <w:pStyle w:val="Heading1"/>
      </w:pPr>
      <w:r>
        <w:lastRenderedPageBreak/>
        <w:t xml:space="preserve">  </w:t>
      </w:r>
      <w:bookmarkStart w:id="88" w:name="_Toc454465596"/>
      <w:r>
        <w:t xml:space="preserve">Forces, Faiblesses, Opportunités et Menaces </w:t>
      </w:r>
      <w:r w:rsidR="00AA5A88">
        <w:t>(SWOT)</w:t>
      </w:r>
      <w:bookmarkEnd w:id="88"/>
    </w:p>
    <w:tbl>
      <w:tblPr>
        <w:tblW w:w="13280" w:type="dxa"/>
        <w:jc w:val="center"/>
        <w:tblCellMar>
          <w:left w:w="70" w:type="dxa"/>
          <w:right w:w="70" w:type="dxa"/>
        </w:tblCellMar>
        <w:tblLook w:val="04A0" w:firstRow="1" w:lastRow="0" w:firstColumn="1" w:lastColumn="0" w:noHBand="0" w:noVBand="1"/>
      </w:tblPr>
      <w:tblGrid>
        <w:gridCol w:w="6640"/>
        <w:gridCol w:w="6640"/>
      </w:tblGrid>
      <w:tr w:rsidR="0080426D" w:rsidRPr="0080426D" w14:paraId="7FFC1D5C" w14:textId="77777777" w:rsidTr="0080426D">
        <w:trPr>
          <w:trHeight w:val="360"/>
          <w:jc w:val="center"/>
        </w:trPr>
        <w:tc>
          <w:tcPr>
            <w:tcW w:w="6640" w:type="dxa"/>
            <w:tcBorders>
              <w:top w:val="single" w:sz="8" w:space="0" w:color="auto"/>
              <w:left w:val="single" w:sz="8" w:space="0" w:color="auto"/>
              <w:bottom w:val="nil"/>
              <w:right w:val="single" w:sz="8" w:space="0" w:color="auto"/>
            </w:tcBorders>
            <w:shd w:val="clear" w:color="000000" w:fill="E2EFDA"/>
            <w:vAlign w:val="center"/>
            <w:hideMark/>
          </w:tcPr>
          <w:p w14:paraId="7FFC1D5A" w14:textId="77777777" w:rsidR="0080426D" w:rsidRPr="0080426D" w:rsidRDefault="0080426D" w:rsidP="0080426D">
            <w:pPr>
              <w:spacing w:before="0" w:after="0"/>
              <w:ind w:left="0"/>
              <w:jc w:val="center"/>
              <w:rPr>
                <w:b/>
                <w:bCs/>
                <w:color w:val="FF0000"/>
                <w:sz w:val="28"/>
                <w:szCs w:val="28"/>
              </w:rPr>
            </w:pPr>
            <w:r w:rsidRPr="0080426D">
              <w:rPr>
                <w:b/>
                <w:bCs/>
                <w:color w:val="FF0000"/>
                <w:sz w:val="28"/>
                <w:szCs w:val="22"/>
              </w:rPr>
              <w:t>Forces</w:t>
            </w:r>
          </w:p>
        </w:tc>
        <w:tc>
          <w:tcPr>
            <w:tcW w:w="6640" w:type="dxa"/>
            <w:tcBorders>
              <w:top w:val="single" w:sz="8" w:space="0" w:color="auto"/>
              <w:left w:val="nil"/>
              <w:bottom w:val="nil"/>
              <w:right w:val="single" w:sz="8" w:space="0" w:color="auto"/>
            </w:tcBorders>
            <w:shd w:val="clear" w:color="000000" w:fill="E2EFDA"/>
            <w:vAlign w:val="center"/>
            <w:hideMark/>
          </w:tcPr>
          <w:p w14:paraId="7FFC1D5B" w14:textId="77777777" w:rsidR="0080426D" w:rsidRPr="0080426D" w:rsidRDefault="0080426D" w:rsidP="0080426D">
            <w:pPr>
              <w:spacing w:before="0" w:after="0"/>
              <w:ind w:left="0"/>
              <w:jc w:val="center"/>
              <w:rPr>
                <w:b/>
                <w:bCs/>
                <w:color w:val="FF0000"/>
                <w:sz w:val="28"/>
                <w:szCs w:val="28"/>
              </w:rPr>
            </w:pPr>
            <w:r w:rsidRPr="0080426D">
              <w:rPr>
                <w:b/>
                <w:bCs/>
                <w:color w:val="FF0000"/>
                <w:sz w:val="28"/>
                <w:szCs w:val="22"/>
              </w:rPr>
              <w:t>Faiblesses</w:t>
            </w:r>
          </w:p>
        </w:tc>
      </w:tr>
      <w:tr w:rsidR="0080426D" w:rsidRPr="0080426D" w14:paraId="7FFC1D5F"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5D"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Externalisation</w:t>
            </w:r>
          </w:p>
        </w:tc>
        <w:tc>
          <w:tcPr>
            <w:tcW w:w="6640" w:type="dxa"/>
            <w:tcBorders>
              <w:top w:val="nil"/>
              <w:left w:val="nil"/>
              <w:bottom w:val="nil"/>
              <w:right w:val="single" w:sz="8" w:space="0" w:color="auto"/>
            </w:tcBorders>
            <w:shd w:val="clear" w:color="auto" w:fill="auto"/>
            <w:vAlign w:val="center"/>
            <w:hideMark/>
          </w:tcPr>
          <w:p w14:paraId="7FFC1D5E"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Maturité du marché</w:t>
            </w:r>
          </w:p>
        </w:tc>
      </w:tr>
      <w:tr w:rsidR="0080426D" w:rsidRPr="0080426D" w14:paraId="7FFC1D62"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60"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Nouvelles technologies</w:t>
            </w:r>
          </w:p>
        </w:tc>
        <w:tc>
          <w:tcPr>
            <w:tcW w:w="6640" w:type="dxa"/>
            <w:tcBorders>
              <w:top w:val="nil"/>
              <w:left w:val="nil"/>
              <w:bottom w:val="nil"/>
              <w:right w:val="single" w:sz="8" w:space="0" w:color="auto"/>
            </w:tcBorders>
            <w:shd w:val="clear" w:color="auto" w:fill="auto"/>
            <w:vAlign w:val="center"/>
            <w:hideMark/>
          </w:tcPr>
          <w:p w14:paraId="7FFC1D61"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Déficit des ingénieurs</w:t>
            </w:r>
          </w:p>
        </w:tc>
      </w:tr>
      <w:tr w:rsidR="0080426D" w:rsidRPr="0080426D" w14:paraId="7FFC1D65"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63"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Hausse des dépenses IT</w:t>
            </w:r>
          </w:p>
        </w:tc>
        <w:tc>
          <w:tcPr>
            <w:tcW w:w="6640" w:type="dxa"/>
            <w:tcBorders>
              <w:top w:val="nil"/>
              <w:left w:val="nil"/>
              <w:bottom w:val="nil"/>
              <w:right w:val="single" w:sz="8" w:space="0" w:color="auto"/>
            </w:tcBorders>
            <w:shd w:val="clear" w:color="auto" w:fill="auto"/>
            <w:vAlign w:val="center"/>
            <w:hideMark/>
          </w:tcPr>
          <w:p w14:paraId="7FFC1D64"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Petites structures mono</w:t>
            </w:r>
            <w:r w:rsidR="001D1DA1">
              <w:rPr>
                <w:rFonts w:ascii="Times New Roman" w:hAnsi="Times New Roman" w:cs="Times New Roman"/>
                <w:color w:val="000000"/>
                <w:szCs w:val="22"/>
              </w:rPr>
              <w:t>-</w:t>
            </w:r>
            <w:r w:rsidRPr="0080426D">
              <w:rPr>
                <w:rFonts w:ascii="Times New Roman" w:hAnsi="Times New Roman" w:cs="Times New Roman"/>
                <w:color w:val="000000"/>
                <w:szCs w:val="22"/>
              </w:rPr>
              <w:t>client</w:t>
            </w:r>
          </w:p>
        </w:tc>
      </w:tr>
      <w:tr w:rsidR="0080426D" w:rsidRPr="0080426D" w14:paraId="7FFC1D68"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66"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France zone attractive pour le cloud</w:t>
            </w:r>
          </w:p>
        </w:tc>
        <w:tc>
          <w:tcPr>
            <w:tcW w:w="6640" w:type="dxa"/>
            <w:tcBorders>
              <w:top w:val="nil"/>
              <w:left w:val="nil"/>
              <w:bottom w:val="nil"/>
              <w:right w:val="single" w:sz="8" w:space="0" w:color="auto"/>
            </w:tcBorders>
            <w:shd w:val="clear" w:color="auto" w:fill="auto"/>
            <w:vAlign w:val="center"/>
            <w:hideMark/>
          </w:tcPr>
          <w:p w14:paraId="7FFC1D67"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Baisse des investissements généraux</w:t>
            </w:r>
          </w:p>
        </w:tc>
      </w:tr>
      <w:tr w:rsidR="0080426D" w:rsidRPr="0080426D" w14:paraId="7FFC1D6B"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69"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20% du marché concerne la finance</w:t>
            </w:r>
          </w:p>
        </w:tc>
        <w:tc>
          <w:tcPr>
            <w:tcW w:w="6640" w:type="dxa"/>
            <w:tcBorders>
              <w:top w:val="nil"/>
              <w:left w:val="nil"/>
              <w:bottom w:val="nil"/>
              <w:right w:val="single" w:sz="8" w:space="0" w:color="auto"/>
            </w:tcBorders>
            <w:shd w:val="clear" w:color="auto" w:fill="auto"/>
            <w:vAlign w:val="center"/>
            <w:hideMark/>
          </w:tcPr>
          <w:p w14:paraId="7FFC1D6A"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Baisse des prix des prestations</w:t>
            </w:r>
          </w:p>
        </w:tc>
      </w:tr>
      <w:tr w:rsidR="0080426D" w:rsidRPr="0080426D" w14:paraId="7FFC1D6E"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6C"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Présent dans plusieurs secteurs d’activité et de zone géographique</w:t>
            </w:r>
          </w:p>
        </w:tc>
        <w:tc>
          <w:tcPr>
            <w:tcW w:w="6640" w:type="dxa"/>
            <w:tcBorders>
              <w:top w:val="nil"/>
              <w:left w:val="nil"/>
              <w:bottom w:val="nil"/>
              <w:right w:val="single" w:sz="8" w:space="0" w:color="auto"/>
            </w:tcBorders>
            <w:shd w:val="clear" w:color="auto" w:fill="auto"/>
            <w:vAlign w:val="center"/>
            <w:hideMark/>
          </w:tcPr>
          <w:p w14:paraId="7FFC1D6D"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Marché français petit pour le cloud</w:t>
            </w:r>
          </w:p>
        </w:tc>
      </w:tr>
      <w:tr w:rsidR="0080426D" w:rsidRPr="0080426D" w14:paraId="7FFC1D71"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6F"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Bonnes relations clientes</w:t>
            </w:r>
          </w:p>
        </w:tc>
        <w:tc>
          <w:tcPr>
            <w:tcW w:w="6640" w:type="dxa"/>
            <w:tcBorders>
              <w:top w:val="nil"/>
              <w:left w:val="nil"/>
              <w:bottom w:val="nil"/>
              <w:right w:val="single" w:sz="8" w:space="0" w:color="auto"/>
            </w:tcBorders>
            <w:shd w:val="clear" w:color="auto" w:fill="auto"/>
            <w:vAlign w:val="center"/>
            <w:hideMark/>
          </w:tcPr>
          <w:p w14:paraId="7FFC1D70"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30% du marché concerne l’industrie</w:t>
            </w:r>
          </w:p>
        </w:tc>
      </w:tr>
      <w:tr w:rsidR="0080426D" w:rsidRPr="0080426D" w14:paraId="7FFC1D74"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72"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Réseaux de partenariat solide</w:t>
            </w:r>
          </w:p>
        </w:tc>
        <w:tc>
          <w:tcPr>
            <w:tcW w:w="6640" w:type="dxa"/>
            <w:tcBorders>
              <w:top w:val="nil"/>
              <w:left w:val="nil"/>
              <w:bottom w:val="nil"/>
              <w:right w:val="single" w:sz="8" w:space="0" w:color="auto"/>
            </w:tcBorders>
            <w:shd w:val="clear" w:color="auto" w:fill="auto"/>
            <w:vAlign w:val="center"/>
            <w:hideMark/>
          </w:tcPr>
          <w:p w14:paraId="7FFC1D73"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xml:space="preserve">          Forte dépendance de l’entreprise </w:t>
            </w:r>
            <w:r w:rsidR="001D1DA1" w:rsidRPr="0080426D">
              <w:rPr>
                <w:rFonts w:ascii="Times New Roman" w:hAnsi="Times New Roman" w:cs="Times New Roman"/>
                <w:color w:val="000000"/>
                <w:szCs w:val="22"/>
              </w:rPr>
              <w:t>vis-à-vis</w:t>
            </w:r>
            <w:r w:rsidRPr="0080426D">
              <w:rPr>
                <w:rFonts w:ascii="Times New Roman" w:hAnsi="Times New Roman" w:cs="Times New Roman"/>
                <w:color w:val="000000"/>
                <w:szCs w:val="22"/>
              </w:rPr>
              <w:t xml:space="preserve"> de ses consultants</w:t>
            </w:r>
          </w:p>
        </w:tc>
      </w:tr>
      <w:tr w:rsidR="0080426D" w:rsidRPr="0080426D" w14:paraId="7FFC1D77"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75"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Forte croissance de la recherche et développement</w:t>
            </w:r>
          </w:p>
        </w:tc>
        <w:tc>
          <w:tcPr>
            <w:tcW w:w="6640" w:type="dxa"/>
            <w:tcBorders>
              <w:top w:val="nil"/>
              <w:left w:val="nil"/>
              <w:bottom w:val="nil"/>
              <w:right w:val="single" w:sz="8" w:space="0" w:color="auto"/>
            </w:tcBorders>
            <w:shd w:val="clear" w:color="auto" w:fill="auto"/>
            <w:vAlign w:val="center"/>
            <w:hideMark/>
          </w:tcPr>
          <w:p w14:paraId="7FFC1D76"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Faibles barrières à l’entrée</w:t>
            </w:r>
          </w:p>
        </w:tc>
      </w:tr>
      <w:tr w:rsidR="0080426D" w:rsidRPr="0080426D" w14:paraId="7FFC1D7A"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78"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Faible coûts fixes de structure</w:t>
            </w:r>
          </w:p>
        </w:tc>
        <w:tc>
          <w:tcPr>
            <w:tcW w:w="6640" w:type="dxa"/>
            <w:tcBorders>
              <w:top w:val="nil"/>
              <w:left w:val="nil"/>
              <w:bottom w:val="nil"/>
              <w:right w:val="single" w:sz="8" w:space="0" w:color="auto"/>
            </w:tcBorders>
            <w:shd w:val="clear" w:color="auto" w:fill="auto"/>
            <w:vAlign w:val="center"/>
            <w:hideMark/>
          </w:tcPr>
          <w:p w14:paraId="7FFC1D79" w14:textId="77777777" w:rsidR="0080426D" w:rsidRPr="0080426D" w:rsidRDefault="0080426D" w:rsidP="0080426D">
            <w:pPr>
              <w:spacing w:before="0" w:after="0"/>
              <w:ind w:left="0"/>
              <w:rPr>
                <w:color w:val="000000"/>
                <w:szCs w:val="22"/>
              </w:rPr>
            </w:pPr>
            <w:r w:rsidRPr="0080426D">
              <w:rPr>
                <w:color w:val="000000"/>
                <w:szCs w:val="22"/>
              </w:rPr>
              <w:t> </w:t>
            </w:r>
          </w:p>
        </w:tc>
      </w:tr>
      <w:tr w:rsidR="0080426D" w:rsidRPr="0080426D" w14:paraId="7FFC1D7D" w14:textId="77777777" w:rsidTr="0080426D">
        <w:trPr>
          <w:trHeight w:val="315"/>
          <w:jc w:val="center"/>
        </w:trPr>
        <w:tc>
          <w:tcPr>
            <w:tcW w:w="6640" w:type="dxa"/>
            <w:tcBorders>
              <w:top w:val="nil"/>
              <w:left w:val="single" w:sz="8" w:space="0" w:color="auto"/>
              <w:bottom w:val="single" w:sz="8" w:space="0" w:color="auto"/>
              <w:right w:val="single" w:sz="8" w:space="0" w:color="auto"/>
            </w:tcBorders>
            <w:shd w:val="clear" w:color="auto" w:fill="auto"/>
            <w:vAlign w:val="center"/>
            <w:hideMark/>
          </w:tcPr>
          <w:p w14:paraId="7FFC1D7B"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Marché en cours de consolidation</w:t>
            </w:r>
          </w:p>
        </w:tc>
        <w:tc>
          <w:tcPr>
            <w:tcW w:w="6640" w:type="dxa"/>
            <w:tcBorders>
              <w:top w:val="nil"/>
              <w:left w:val="nil"/>
              <w:bottom w:val="single" w:sz="8" w:space="0" w:color="auto"/>
              <w:right w:val="single" w:sz="8" w:space="0" w:color="auto"/>
            </w:tcBorders>
            <w:shd w:val="clear" w:color="auto" w:fill="auto"/>
            <w:hideMark/>
          </w:tcPr>
          <w:p w14:paraId="7FFC1D7C" w14:textId="77777777" w:rsidR="0080426D" w:rsidRPr="0080426D" w:rsidRDefault="0080426D" w:rsidP="0080426D">
            <w:pPr>
              <w:spacing w:before="0" w:after="0"/>
              <w:ind w:left="0"/>
              <w:jc w:val="left"/>
              <w:rPr>
                <w:rFonts w:ascii="Calibri" w:hAnsi="Calibri" w:cs="Times New Roman"/>
                <w:color w:val="000000"/>
                <w:szCs w:val="22"/>
              </w:rPr>
            </w:pPr>
            <w:r w:rsidRPr="0080426D">
              <w:rPr>
                <w:rFonts w:ascii="Calibri" w:hAnsi="Calibri" w:cs="Times New Roman"/>
                <w:color w:val="000000"/>
                <w:szCs w:val="22"/>
              </w:rPr>
              <w:t> </w:t>
            </w:r>
          </w:p>
        </w:tc>
      </w:tr>
      <w:tr w:rsidR="0080426D" w:rsidRPr="0080426D" w14:paraId="7FFC1D80" w14:textId="77777777" w:rsidTr="0080426D">
        <w:trPr>
          <w:trHeight w:val="360"/>
          <w:jc w:val="center"/>
        </w:trPr>
        <w:tc>
          <w:tcPr>
            <w:tcW w:w="6640" w:type="dxa"/>
            <w:tcBorders>
              <w:top w:val="nil"/>
              <w:left w:val="single" w:sz="8" w:space="0" w:color="auto"/>
              <w:bottom w:val="nil"/>
              <w:right w:val="single" w:sz="8" w:space="0" w:color="auto"/>
            </w:tcBorders>
            <w:shd w:val="clear" w:color="000000" w:fill="E2EFDA"/>
            <w:vAlign w:val="center"/>
            <w:hideMark/>
          </w:tcPr>
          <w:p w14:paraId="7FFC1D7E" w14:textId="77777777" w:rsidR="0080426D" w:rsidRPr="0080426D" w:rsidRDefault="0080426D" w:rsidP="0080426D">
            <w:pPr>
              <w:spacing w:before="0" w:after="0"/>
              <w:ind w:left="0"/>
              <w:jc w:val="center"/>
              <w:rPr>
                <w:b/>
                <w:bCs/>
                <w:color w:val="FF0000"/>
                <w:sz w:val="28"/>
                <w:szCs w:val="28"/>
              </w:rPr>
            </w:pPr>
            <w:r w:rsidRPr="0080426D">
              <w:rPr>
                <w:b/>
                <w:bCs/>
                <w:color w:val="FF0000"/>
                <w:sz w:val="28"/>
                <w:szCs w:val="22"/>
              </w:rPr>
              <w:t>Opportunités</w:t>
            </w:r>
          </w:p>
        </w:tc>
        <w:tc>
          <w:tcPr>
            <w:tcW w:w="6640" w:type="dxa"/>
            <w:tcBorders>
              <w:top w:val="nil"/>
              <w:left w:val="nil"/>
              <w:bottom w:val="nil"/>
              <w:right w:val="single" w:sz="8" w:space="0" w:color="auto"/>
            </w:tcBorders>
            <w:shd w:val="clear" w:color="000000" w:fill="E2EFDA"/>
            <w:vAlign w:val="center"/>
            <w:hideMark/>
          </w:tcPr>
          <w:p w14:paraId="7FFC1D7F" w14:textId="77777777" w:rsidR="0080426D" w:rsidRPr="0080426D" w:rsidRDefault="0080426D" w:rsidP="0080426D">
            <w:pPr>
              <w:spacing w:before="0" w:after="0"/>
              <w:ind w:left="0"/>
              <w:jc w:val="center"/>
              <w:rPr>
                <w:b/>
                <w:bCs/>
                <w:color w:val="FF0000"/>
                <w:sz w:val="28"/>
                <w:szCs w:val="28"/>
              </w:rPr>
            </w:pPr>
            <w:r w:rsidRPr="0080426D">
              <w:rPr>
                <w:b/>
                <w:bCs/>
                <w:color w:val="FF0000"/>
                <w:sz w:val="28"/>
                <w:szCs w:val="22"/>
              </w:rPr>
              <w:t>Menaces</w:t>
            </w:r>
          </w:p>
        </w:tc>
      </w:tr>
      <w:tr w:rsidR="0080426D" w:rsidRPr="0080426D" w14:paraId="7FFC1D83"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81"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Pays les plus « intensif en logiciel libre »</w:t>
            </w:r>
          </w:p>
        </w:tc>
        <w:tc>
          <w:tcPr>
            <w:tcW w:w="6640" w:type="dxa"/>
            <w:tcBorders>
              <w:top w:val="nil"/>
              <w:left w:val="nil"/>
              <w:bottom w:val="nil"/>
              <w:right w:val="single" w:sz="8" w:space="0" w:color="auto"/>
            </w:tcBorders>
            <w:shd w:val="clear" w:color="auto" w:fill="auto"/>
            <w:vAlign w:val="center"/>
            <w:hideMark/>
          </w:tcPr>
          <w:p w14:paraId="7FFC1D82"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CA stagne en 2013</w:t>
            </w:r>
          </w:p>
        </w:tc>
      </w:tr>
      <w:tr w:rsidR="0080426D" w:rsidRPr="0080426D" w14:paraId="7FFC1D86"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84"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Nouveaux modèles économiques</w:t>
            </w:r>
          </w:p>
        </w:tc>
        <w:tc>
          <w:tcPr>
            <w:tcW w:w="6640" w:type="dxa"/>
            <w:tcBorders>
              <w:top w:val="nil"/>
              <w:left w:val="nil"/>
              <w:bottom w:val="nil"/>
              <w:right w:val="single" w:sz="8" w:space="0" w:color="auto"/>
            </w:tcBorders>
            <w:shd w:val="clear" w:color="auto" w:fill="auto"/>
            <w:vAlign w:val="center"/>
            <w:hideMark/>
          </w:tcPr>
          <w:p w14:paraId="7FFC1D85"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Allongement du cycle de décision</w:t>
            </w:r>
          </w:p>
        </w:tc>
      </w:tr>
      <w:tr w:rsidR="0080426D" w:rsidRPr="0080426D" w14:paraId="7FFC1D89"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87"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DSI cherchent à diminuer les dépenses</w:t>
            </w:r>
          </w:p>
        </w:tc>
        <w:tc>
          <w:tcPr>
            <w:tcW w:w="6640" w:type="dxa"/>
            <w:tcBorders>
              <w:top w:val="nil"/>
              <w:left w:val="nil"/>
              <w:bottom w:val="nil"/>
              <w:right w:val="single" w:sz="8" w:space="0" w:color="auto"/>
            </w:tcBorders>
            <w:shd w:val="clear" w:color="auto" w:fill="auto"/>
            <w:vAlign w:val="center"/>
            <w:hideMark/>
          </w:tcPr>
          <w:p w14:paraId="7FFC1D88"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Tension sur les prix</w:t>
            </w:r>
          </w:p>
        </w:tc>
      </w:tr>
      <w:tr w:rsidR="0080426D" w:rsidRPr="0080426D" w14:paraId="7FFC1D8C"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8A"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Partenariats avec de grands opérateurs</w:t>
            </w:r>
          </w:p>
        </w:tc>
        <w:tc>
          <w:tcPr>
            <w:tcW w:w="6640" w:type="dxa"/>
            <w:tcBorders>
              <w:top w:val="nil"/>
              <w:left w:val="nil"/>
              <w:bottom w:val="nil"/>
              <w:right w:val="single" w:sz="8" w:space="0" w:color="auto"/>
            </w:tcBorders>
            <w:shd w:val="clear" w:color="auto" w:fill="auto"/>
            <w:vAlign w:val="center"/>
            <w:hideMark/>
          </w:tcPr>
          <w:p w14:paraId="7FFC1D8B"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Tentation d’externalisation offshore</w:t>
            </w:r>
          </w:p>
        </w:tc>
      </w:tr>
      <w:tr w:rsidR="0080426D" w:rsidRPr="0080426D" w14:paraId="7FFC1D8F"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8D"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Développement de Data</w:t>
            </w:r>
            <w:r w:rsidR="001D1DA1">
              <w:rPr>
                <w:rFonts w:ascii="Times New Roman" w:hAnsi="Times New Roman" w:cs="Times New Roman"/>
                <w:color w:val="000000"/>
                <w:szCs w:val="22"/>
              </w:rPr>
              <w:t xml:space="preserve"> </w:t>
            </w:r>
            <w:r w:rsidRPr="0080426D">
              <w:rPr>
                <w:rFonts w:ascii="Times New Roman" w:hAnsi="Times New Roman" w:cs="Times New Roman"/>
                <w:color w:val="000000"/>
                <w:szCs w:val="22"/>
              </w:rPr>
              <w:t>Centers avec aides publiques</w:t>
            </w:r>
          </w:p>
        </w:tc>
        <w:tc>
          <w:tcPr>
            <w:tcW w:w="6640" w:type="dxa"/>
            <w:tcBorders>
              <w:top w:val="nil"/>
              <w:left w:val="nil"/>
              <w:bottom w:val="nil"/>
              <w:right w:val="single" w:sz="8" w:space="0" w:color="auto"/>
            </w:tcBorders>
            <w:shd w:val="clear" w:color="auto" w:fill="auto"/>
            <w:vAlign w:val="center"/>
            <w:hideMark/>
          </w:tcPr>
          <w:p w14:paraId="7FFC1D8E"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Inflation des structures freelance</w:t>
            </w:r>
          </w:p>
        </w:tc>
      </w:tr>
      <w:tr w:rsidR="0080426D" w:rsidRPr="0080426D" w14:paraId="7FFC1D92"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90"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Programmes européens</w:t>
            </w:r>
          </w:p>
        </w:tc>
        <w:tc>
          <w:tcPr>
            <w:tcW w:w="6640" w:type="dxa"/>
            <w:tcBorders>
              <w:top w:val="nil"/>
              <w:left w:val="nil"/>
              <w:bottom w:val="nil"/>
              <w:right w:val="single" w:sz="8" w:space="0" w:color="auto"/>
            </w:tcBorders>
            <w:shd w:val="clear" w:color="auto" w:fill="auto"/>
            <w:vAlign w:val="center"/>
            <w:hideMark/>
          </w:tcPr>
          <w:p w14:paraId="7FFC1D91"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xml:space="preserve">          Lockin d’acteurs </w:t>
            </w:r>
            <w:r w:rsidR="001D1DA1" w:rsidRPr="0080426D">
              <w:rPr>
                <w:rFonts w:ascii="Times New Roman" w:hAnsi="Times New Roman" w:cs="Times New Roman"/>
                <w:color w:val="000000"/>
                <w:szCs w:val="22"/>
              </w:rPr>
              <w:t>nord</w:t>
            </w:r>
            <w:r w:rsidR="001D1DA1">
              <w:rPr>
                <w:rFonts w:ascii="Times New Roman" w:hAnsi="Times New Roman" w:cs="Times New Roman"/>
                <w:color w:val="000000"/>
                <w:szCs w:val="22"/>
              </w:rPr>
              <w:t>-</w:t>
            </w:r>
            <w:r w:rsidR="001D1DA1" w:rsidRPr="0080426D">
              <w:rPr>
                <w:rFonts w:ascii="Times New Roman" w:hAnsi="Times New Roman" w:cs="Times New Roman"/>
                <w:color w:val="000000"/>
                <w:szCs w:val="22"/>
              </w:rPr>
              <w:t>américains</w:t>
            </w:r>
            <w:r w:rsidRPr="0080426D">
              <w:rPr>
                <w:rFonts w:ascii="Times New Roman" w:hAnsi="Times New Roman" w:cs="Times New Roman"/>
                <w:color w:val="000000"/>
                <w:szCs w:val="22"/>
              </w:rPr>
              <w:t xml:space="preserve"> sur leurs technologies Cloud, </w:t>
            </w:r>
          </w:p>
        </w:tc>
      </w:tr>
      <w:tr w:rsidR="0080426D" w:rsidRPr="0080426D" w14:paraId="7FFC1D95"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93"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Nouveau service à forte valeur ajoutée</w:t>
            </w:r>
          </w:p>
        </w:tc>
        <w:tc>
          <w:tcPr>
            <w:tcW w:w="6640" w:type="dxa"/>
            <w:tcBorders>
              <w:top w:val="nil"/>
              <w:left w:val="nil"/>
              <w:bottom w:val="nil"/>
              <w:right w:val="single" w:sz="8" w:space="0" w:color="auto"/>
            </w:tcBorders>
            <w:shd w:val="clear" w:color="auto" w:fill="auto"/>
            <w:vAlign w:val="center"/>
            <w:hideMark/>
          </w:tcPr>
          <w:p w14:paraId="7FFC1D94"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Asphyxie des acteurs français</w:t>
            </w:r>
          </w:p>
        </w:tc>
      </w:tr>
      <w:tr w:rsidR="0080426D" w:rsidRPr="0080426D" w14:paraId="7FFC1D98"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96"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Nouveaux marché dans les pays à forte croissance</w:t>
            </w:r>
          </w:p>
        </w:tc>
        <w:tc>
          <w:tcPr>
            <w:tcW w:w="6640" w:type="dxa"/>
            <w:tcBorders>
              <w:top w:val="nil"/>
              <w:left w:val="nil"/>
              <w:bottom w:val="nil"/>
              <w:right w:val="single" w:sz="8" w:space="0" w:color="auto"/>
            </w:tcBorders>
            <w:shd w:val="clear" w:color="auto" w:fill="auto"/>
            <w:vAlign w:val="center"/>
            <w:hideMark/>
          </w:tcPr>
          <w:p w14:paraId="7FFC1D97"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Forte concurrence</w:t>
            </w:r>
          </w:p>
        </w:tc>
      </w:tr>
      <w:tr w:rsidR="0080426D" w:rsidRPr="0080426D" w14:paraId="7FFC1D9B"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99"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Augmentation de la part du cloud dans le service</w:t>
            </w:r>
          </w:p>
        </w:tc>
        <w:tc>
          <w:tcPr>
            <w:tcW w:w="6640" w:type="dxa"/>
            <w:tcBorders>
              <w:top w:val="nil"/>
              <w:left w:val="nil"/>
              <w:bottom w:val="nil"/>
              <w:right w:val="single" w:sz="8" w:space="0" w:color="auto"/>
            </w:tcBorders>
            <w:shd w:val="clear" w:color="auto" w:fill="auto"/>
            <w:vAlign w:val="center"/>
            <w:hideMark/>
          </w:tcPr>
          <w:p w14:paraId="7FFC1D9A"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Volatilité et conditions économiques incertains</w:t>
            </w:r>
          </w:p>
        </w:tc>
      </w:tr>
      <w:tr w:rsidR="0080426D" w:rsidRPr="0080426D" w14:paraId="7FFC1D9E"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9C"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Forte croissance de la part des fusions &amp; acquisitions</w:t>
            </w:r>
          </w:p>
        </w:tc>
        <w:tc>
          <w:tcPr>
            <w:tcW w:w="6640" w:type="dxa"/>
            <w:tcBorders>
              <w:top w:val="nil"/>
              <w:left w:val="nil"/>
              <w:bottom w:val="nil"/>
              <w:right w:val="single" w:sz="8" w:space="0" w:color="auto"/>
            </w:tcBorders>
            <w:shd w:val="clear" w:color="auto" w:fill="auto"/>
            <w:vAlign w:val="center"/>
            <w:hideMark/>
          </w:tcPr>
          <w:p w14:paraId="7FFC1D9D"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Risque de devises étrangères</w:t>
            </w:r>
          </w:p>
        </w:tc>
      </w:tr>
      <w:tr w:rsidR="0080426D" w:rsidRPr="0080426D" w14:paraId="7FFC1DA1"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9F"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Demande croissante des services SMACSI</w:t>
            </w:r>
          </w:p>
        </w:tc>
        <w:tc>
          <w:tcPr>
            <w:tcW w:w="6640" w:type="dxa"/>
            <w:tcBorders>
              <w:top w:val="nil"/>
              <w:left w:val="nil"/>
              <w:bottom w:val="nil"/>
              <w:right w:val="single" w:sz="8" w:space="0" w:color="auto"/>
            </w:tcBorders>
            <w:shd w:val="clear" w:color="auto" w:fill="auto"/>
            <w:vAlign w:val="center"/>
            <w:hideMark/>
          </w:tcPr>
          <w:p w14:paraId="7FFC1DA0"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Nécessité d’adaptation rapide aux nouvelles technologies</w:t>
            </w:r>
          </w:p>
        </w:tc>
      </w:tr>
      <w:tr w:rsidR="0080426D" w:rsidRPr="0080426D" w14:paraId="7FFC1DA4" w14:textId="77777777"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14:paraId="7FFC1DA2" w14:textId="77777777"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Services informatiques sous</w:t>
            </w:r>
            <w:r w:rsidR="001D1DA1">
              <w:rPr>
                <w:rFonts w:ascii="Times New Roman" w:hAnsi="Times New Roman" w:cs="Times New Roman"/>
                <w:color w:val="000000"/>
                <w:szCs w:val="22"/>
              </w:rPr>
              <w:t xml:space="preserve"> </w:t>
            </w:r>
            <w:r w:rsidRPr="0080426D">
              <w:rPr>
                <w:rFonts w:ascii="Times New Roman" w:hAnsi="Times New Roman" w:cs="Times New Roman"/>
                <w:color w:val="000000"/>
                <w:szCs w:val="22"/>
              </w:rPr>
              <w:t>développé aux pays émergents</w:t>
            </w:r>
          </w:p>
        </w:tc>
        <w:tc>
          <w:tcPr>
            <w:tcW w:w="6640" w:type="dxa"/>
            <w:tcBorders>
              <w:top w:val="nil"/>
              <w:left w:val="nil"/>
              <w:bottom w:val="nil"/>
              <w:right w:val="single" w:sz="8" w:space="0" w:color="auto"/>
            </w:tcBorders>
            <w:shd w:val="clear" w:color="auto" w:fill="auto"/>
            <w:hideMark/>
          </w:tcPr>
          <w:p w14:paraId="7FFC1DA3" w14:textId="77777777" w:rsidR="0080426D" w:rsidRPr="0080426D" w:rsidRDefault="0080426D" w:rsidP="0080426D">
            <w:pPr>
              <w:spacing w:before="0" w:after="0"/>
              <w:ind w:left="0"/>
              <w:jc w:val="left"/>
              <w:rPr>
                <w:rFonts w:ascii="Calibri" w:hAnsi="Calibri" w:cs="Times New Roman"/>
                <w:color w:val="000000"/>
                <w:szCs w:val="22"/>
              </w:rPr>
            </w:pPr>
            <w:r w:rsidRPr="0080426D">
              <w:rPr>
                <w:rFonts w:ascii="Calibri" w:hAnsi="Calibri" w:cs="Times New Roman"/>
                <w:color w:val="000000"/>
                <w:szCs w:val="22"/>
              </w:rPr>
              <w:t> </w:t>
            </w:r>
          </w:p>
        </w:tc>
      </w:tr>
      <w:tr w:rsidR="0080426D" w:rsidRPr="0080426D" w14:paraId="7FFC1DA7" w14:textId="77777777" w:rsidTr="0080426D">
        <w:trPr>
          <w:trHeight w:val="315"/>
          <w:jc w:val="center"/>
        </w:trPr>
        <w:tc>
          <w:tcPr>
            <w:tcW w:w="6640" w:type="dxa"/>
            <w:tcBorders>
              <w:top w:val="nil"/>
              <w:left w:val="single" w:sz="8" w:space="0" w:color="auto"/>
              <w:bottom w:val="single" w:sz="8" w:space="0" w:color="auto"/>
              <w:right w:val="single" w:sz="8" w:space="0" w:color="auto"/>
            </w:tcBorders>
            <w:shd w:val="clear" w:color="auto" w:fill="auto"/>
            <w:vAlign w:val="center"/>
            <w:hideMark/>
          </w:tcPr>
          <w:p w14:paraId="7FFC1DA5" w14:textId="77777777" w:rsidR="0080426D" w:rsidRPr="0080426D" w:rsidRDefault="0080426D" w:rsidP="0080426D">
            <w:pPr>
              <w:spacing w:before="0" w:after="0"/>
              <w:ind w:left="0"/>
              <w:rPr>
                <w:color w:val="000000"/>
                <w:szCs w:val="22"/>
              </w:rPr>
            </w:pPr>
            <w:r w:rsidRPr="0080426D">
              <w:rPr>
                <w:color w:val="000000"/>
                <w:szCs w:val="22"/>
              </w:rPr>
              <w:t> </w:t>
            </w:r>
          </w:p>
        </w:tc>
        <w:tc>
          <w:tcPr>
            <w:tcW w:w="6640" w:type="dxa"/>
            <w:tcBorders>
              <w:top w:val="nil"/>
              <w:left w:val="nil"/>
              <w:bottom w:val="single" w:sz="8" w:space="0" w:color="auto"/>
              <w:right w:val="single" w:sz="8" w:space="0" w:color="auto"/>
            </w:tcBorders>
            <w:shd w:val="clear" w:color="auto" w:fill="auto"/>
            <w:hideMark/>
          </w:tcPr>
          <w:p w14:paraId="7FFC1DA6" w14:textId="77777777" w:rsidR="0080426D" w:rsidRPr="0080426D" w:rsidRDefault="0080426D" w:rsidP="0080426D">
            <w:pPr>
              <w:spacing w:before="0" w:after="0"/>
              <w:ind w:left="0"/>
              <w:jc w:val="left"/>
              <w:rPr>
                <w:rFonts w:ascii="Calibri" w:hAnsi="Calibri" w:cs="Times New Roman"/>
                <w:color w:val="000000"/>
                <w:szCs w:val="22"/>
              </w:rPr>
            </w:pPr>
            <w:r w:rsidRPr="0080426D">
              <w:rPr>
                <w:rFonts w:ascii="Calibri" w:hAnsi="Calibri" w:cs="Times New Roman"/>
                <w:color w:val="000000"/>
                <w:szCs w:val="22"/>
              </w:rPr>
              <w:t> </w:t>
            </w:r>
          </w:p>
        </w:tc>
      </w:tr>
    </w:tbl>
    <w:p w14:paraId="7FFC1DA8" w14:textId="77777777" w:rsidR="0080426D" w:rsidRDefault="0080426D" w:rsidP="0080426D"/>
    <w:p w14:paraId="7FFC1DA9" w14:textId="77777777" w:rsidR="005A1115" w:rsidRDefault="005A1115" w:rsidP="006C062A">
      <w:pPr>
        <w:pStyle w:val="Heading1"/>
      </w:pPr>
      <w:r>
        <w:lastRenderedPageBreak/>
        <w:t xml:space="preserve">  </w:t>
      </w:r>
      <w:bookmarkStart w:id="89" w:name="_Toc454465597"/>
      <w:r w:rsidR="006C062A">
        <w:t>Sources</w:t>
      </w:r>
      <w:r>
        <w:t xml:space="preserve"> de veille stratégique</w:t>
      </w:r>
      <w:bookmarkEnd w:id="89"/>
      <w:r>
        <w:t xml:space="preserve"> </w:t>
      </w:r>
    </w:p>
    <w:p w14:paraId="7FFC1DAA" w14:textId="77777777" w:rsidR="0029334A" w:rsidRDefault="005F0415" w:rsidP="005F0415">
      <w:pPr>
        <w:pStyle w:val="Heading2"/>
      </w:pPr>
      <w:bookmarkStart w:id="90" w:name="_Toc454465598"/>
      <w:r>
        <w:t>Les principales entreprises et groupes du secteur</w:t>
      </w:r>
      <w:bookmarkEnd w:id="90"/>
      <w:r>
        <w:t xml:space="preserve"> </w:t>
      </w:r>
    </w:p>
    <w:p w14:paraId="7FFC1DAB" w14:textId="77777777" w:rsidR="005F0415" w:rsidRDefault="005F0415" w:rsidP="009C261D">
      <w:r>
        <w:t xml:space="preserve">Cf. paragraphe </w:t>
      </w:r>
      <w:r w:rsidR="00567BB5">
        <w:fldChar w:fldCharType="begin"/>
      </w:r>
      <w:r>
        <w:instrText xml:space="preserve"> REF _Ref451795924 \r \h </w:instrText>
      </w:r>
      <w:r w:rsidR="00567BB5">
        <w:fldChar w:fldCharType="separate"/>
      </w:r>
      <w:r w:rsidR="00CB4331">
        <w:rPr>
          <w:cs/>
        </w:rPr>
        <w:t>‎</w:t>
      </w:r>
      <w:r w:rsidR="00CB4331">
        <w:t>2.1</w:t>
      </w:r>
      <w:r w:rsidR="00567BB5">
        <w:fldChar w:fldCharType="end"/>
      </w:r>
    </w:p>
    <w:p w14:paraId="7FFC1DAC" w14:textId="77777777" w:rsidR="0029334A" w:rsidRDefault="0029334A" w:rsidP="0029334A">
      <w:pPr>
        <w:pStyle w:val="Heading2"/>
      </w:pPr>
      <w:bookmarkStart w:id="91" w:name="_Ref451795414"/>
      <w:bookmarkStart w:id="92" w:name="_Toc454465599"/>
      <w:r>
        <w:t>Les organismes officiels</w:t>
      </w:r>
      <w:bookmarkEnd w:id="91"/>
      <w:bookmarkEnd w:id="92"/>
      <w:r>
        <w:t xml:space="preserve"> </w:t>
      </w:r>
    </w:p>
    <w:p w14:paraId="7FFC1DAD" w14:textId="77777777" w:rsidR="0029334A" w:rsidRDefault="003E09C8" w:rsidP="003E09C8">
      <w:pPr>
        <w:pStyle w:val="Heading3"/>
      </w:pPr>
      <w:bookmarkStart w:id="93" w:name="_Toc454465600"/>
      <w:r>
        <w:t>Institutionnels</w:t>
      </w:r>
      <w:bookmarkEnd w:id="93"/>
      <w:r>
        <w:t xml:space="preserve"> </w:t>
      </w:r>
    </w:p>
    <w:p w14:paraId="7FFC1DAE" w14:textId="77777777" w:rsidR="00800220" w:rsidRDefault="00800220" w:rsidP="00C27B5F">
      <w:pPr>
        <w:pStyle w:val="ListParagraph"/>
        <w:numPr>
          <w:ilvl w:val="0"/>
          <w:numId w:val="44"/>
        </w:numPr>
      </w:pPr>
      <w:r w:rsidRPr="00C27B5F">
        <w:rPr>
          <w:b/>
          <w:bCs/>
        </w:rPr>
        <w:t>DGCIS</w:t>
      </w:r>
      <w:r>
        <w:t>, Direction générale de la compétitivité, de l'industrie et des services</w:t>
      </w:r>
    </w:p>
    <w:p w14:paraId="7FFC1DAF" w14:textId="77777777" w:rsidR="003E09C8" w:rsidRDefault="00800220" w:rsidP="00800220">
      <w:r>
        <w:t xml:space="preserve">BP 80001 - 67, rue Barbès - 94 201 Ivry-sur-Seine Cedex </w:t>
      </w:r>
      <w:hyperlink r:id="rId40" w:history="1">
        <w:r w:rsidRPr="00361B45">
          <w:rPr>
            <w:rStyle w:val="Hyperlink"/>
          </w:rPr>
          <w:t>www.dgcis.fr</w:t>
        </w:r>
      </w:hyperlink>
    </w:p>
    <w:p w14:paraId="7FFC1DB0" w14:textId="77777777" w:rsidR="003E09C8" w:rsidRDefault="003E09C8" w:rsidP="003E09C8">
      <w:pPr>
        <w:pStyle w:val="Heading3"/>
      </w:pPr>
      <w:bookmarkStart w:id="94" w:name="_Toc454465601"/>
      <w:r>
        <w:t>Professionnels</w:t>
      </w:r>
      <w:bookmarkEnd w:id="94"/>
      <w:r>
        <w:t xml:space="preserve"> </w:t>
      </w:r>
    </w:p>
    <w:p w14:paraId="7FFC1DB1" w14:textId="77777777" w:rsidR="00800220" w:rsidRPr="00C27B5F" w:rsidRDefault="00800220" w:rsidP="00C27B5F">
      <w:pPr>
        <w:pStyle w:val="ListParagraph"/>
        <w:numPr>
          <w:ilvl w:val="0"/>
          <w:numId w:val="44"/>
        </w:numPr>
        <w:rPr>
          <w:b/>
          <w:bCs/>
        </w:rPr>
      </w:pPr>
      <w:r w:rsidRPr="00C27B5F">
        <w:rPr>
          <w:b/>
          <w:bCs/>
        </w:rPr>
        <w:t xml:space="preserve">Syntec numérique </w:t>
      </w:r>
      <w:r w:rsidRPr="00C27B5F">
        <w:t>(ex Syntec informatique*)</w:t>
      </w:r>
    </w:p>
    <w:p w14:paraId="7FFC1DB2" w14:textId="77777777" w:rsidR="00800220" w:rsidRDefault="00800220" w:rsidP="00800220">
      <w:pPr>
        <w:ind w:left="709"/>
      </w:pPr>
      <w:r>
        <w:t xml:space="preserve">3 rue Léon Bonnat - 75016 Paris - Tél. 01 44 30 49 70 – </w:t>
      </w:r>
      <w:hyperlink r:id="rId41" w:history="1">
        <w:r w:rsidRPr="00361B45">
          <w:rPr>
            <w:rStyle w:val="Hyperlink"/>
          </w:rPr>
          <w:t>www.syntec-numerique.fr</w:t>
        </w:r>
      </w:hyperlink>
      <w:r>
        <w:t xml:space="preserve"> </w:t>
      </w:r>
    </w:p>
    <w:p w14:paraId="7FFC1DB3" w14:textId="77777777" w:rsidR="00800220" w:rsidRDefault="00800220" w:rsidP="00800220">
      <w:pPr>
        <w:ind w:left="709"/>
      </w:pPr>
      <w:r>
        <w:t>Syntec représente environ 1 100 groupes et sociétés membres, soit 80% du CA de la profession. 3 grands métiers :</w:t>
      </w:r>
    </w:p>
    <w:p w14:paraId="7FFC1DB4" w14:textId="77777777" w:rsidR="00800220" w:rsidRDefault="007F3818" w:rsidP="00800220">
      <w:pPr>
        <w:pStyle w:val="ListParagraph"/>
        <w:numPr>
          <w:ilvl w:val="0"/>
          <w:numId w:val="42"/>
        </w:numPr>
      </w:pPr>
      <w:r>
        <w:t>Services</w:t>
      </w:r>
      <w:r w:rsidR="00800220">
        <w:t xml:space="preserve"> informatiques</w:t>
      </w:r>
    </w:p>
    <w:p w14:paraId="7FFC1DB5" w14:textId="77777777" w:rsidR="00800220" w:rsidRDefault="007F3818" w:rsidP="00800220">
      <w:pPr>
        <w:pStyle w:val="ListParagraph"/>
        <w:numPr>
          <w:ilvl w:val="0"/>
          <w:numId w:val="42"/>
        </w:numPr>
      </w:pPr>
      <w:r>
        <w:t>Édition</w:t>
      </w:r>
      <w:r w:rsidR="00800220">
        <w:t xml:space="preserve"> de logiciels</w:t>
      </w:r>
    </w:p>
    <w:p w14:paraId="7FFC1DB6" w14:textId="77777777" w:rsidR="003E09C8" w:rsidRDefault="007F3818" w:rsidP="00800220">
      <w:pPr>
        <w:pStyle w:val="ListParagraph"/>
        <w:numPr>
          <w:ilvl w:val="0"/>
          <w:numId w:val="42"/>
        </w:numPr>
      </w:pPr>
      <w:r>
        <w:t>Conseils</w:t>
      </w:r>
      <w:r w:rsidR="00800220">
        <w:t xml:space="preserve"> en technologie</w:t>
      </w:r>
    </w:p>
    <w:p w14:paraId="7FFC1DB7" w14:textId="77777777" w:rsidR="00800220" w:rsidRPr="00C27B5F" w:rsidRDefault="00800220" w:rsidP="00C27B5F">
      <w:pPr>
        <w:pStyle w:val="ListParagraph"/>
        <w:numPr>
          <w:ilvl w:val="0"/>
          <w:numId w:val="44"/>
        </w:numPr>
        <w:rPr>
          <w:b/>
          <w:bCs/>
        </w:rPr>
      </w:pPr>
      <w:r w:rsidRPr="00C27B5F">
        <w:rPr>
          <w:b/>
          <w:bCs/>
        </w:rPr>
        <w:t xml:space="preserve">Cinov, </w:t>
      </w:r>
      <w:r w:rsidR="00C27B5F" w:rsidRPr="00C27B5F">
        <w:rPr>
          <w:b/>
          <w:bCs/>
        </w:rPr>
        <w:t>(</w:t>
      </w:r>
      <w:r w:rsidRPr="00C27B5F">
        <w:t>ex CICF, Chambre des Ingénieurs-Conseils de France, Maison de l'Ingénierie</w:t>
      </w:r>
      <w:r w:rsidR="00C27B5F">
        <w:t xml:space="preserve">) </w:t>
      </w:r>
    </w:p>
    <w:p w14:paraId="7FFC1DB8" w14:textId="77777777" w:rsidR="00800220" w:rsidRDefault="00800220" w:rsidP="00800220">
      <w:r>
        <w:t xml:space="preserve">4 avenue du Recteur Poincaré - 75016 Paris - Tél. : 01 44 30 49 30 – </w:t>
      </w:r>
      <w:hyperlink r:id="rId42" w:history="1">
        <w:r w:rsidRPr="00361B45">
          <w:rPr>
            <w:rStyle w:val="Hyperlink"/>
          </w:rPr>
          <w:t>www.cinov.fr</w:t>
        </w:r>
      </w:hyperlink>
      <w:r>
        <w:t xml:space="preserve"> </w:t>
      </w:r>
    </w:p>
    <w:p w14:paraId="7FFC1DB9" w14:textId="77777777" w:rsidR="007F3818" w:rsidRDefault="007F3818" w:rsidP="00800220"/>
    <w:p w14:paraId="7FFC1DBA" w14:textId="77777777" w:rsidR="003E09C8" w:rsidRDefault="003E09C8" w:rsidP="003E09C8">
      <w:pPr>
        <w:pStyle w:val="Heading2"/>
      </w:pPr>
      <w:bookmarkStart w:id="95" w:name="_Toc454465602"/>
      <w:r>
        <w:t>Les associations et groupements</w:t>
      </w:r>
      <w:bookmarkEnd w:id="95"/>
      <w:r>
        <w:t xml:space="preserve"> </w:t>
      </w:r>
    </w:p>
    <w:p w14:paraId="7FFC1DBB" w14:textId="77777777" w:rsidR="00800220" w:rsidRDefault="00800220" w:rsidP="00800220">
      <w:pPr>
        <w:pStyle w:val="ListParagraph"/>
        <w:numPr>
          <w:ilvl w:val="0"/>
          <w:numId w:val="43"/>
        </w:numPr>
      </w:pPr>
      <w:r w:rsidRPr="00800220">
        <w:rPr>
          <w:b/>
          <w:bCs/>
        </w:rPr>
        <w:t>MUNCI</w:t>
      </w:r>
      <w:r>
        <w:t>, Fondée en 2003, le MUNCI est l’association professionnelle qui fédère en France les membres salariés (sociétés de Conseil, Logiciel &amp; Services informatiques (SSII/ESN) / DI-DSI des entreprises utilisatrices / autres sociétés de l’économique numérique…), indépendants et demandeurs d’emploi des professions informatique, web et télécoms ("métiers IT"), plus généralement des métiers du numérique.</w:t>
      </w:r>
    </w:p>
    <w:p w14:paraId="7FFC1DBC" w14:textId="77777777" w:rsidR="003E09C8" w:rsidRDefault="00800220" w:rsidP="00800220">
      <w:pPr>
        <w:ind w:firstLine="405"/>
      </w:pPr>
      <w:r>
        <w:t xml:space="preserve">8 rue Paul Bert, 92130 Issy les Moulineaux Tel : 01 77 62 42 57 </w:t>
      </w:r>
      <w:hyperlink r:id="rId43" w:history="1">
        <w:r w:rsidRPr="00361B45">
          <w:rPr>
            <w:rStyle w:val="Hyperlink"/>
          </w:rPr>
          <w:t>www.munci.org</w:t>
        </w:r>
      </w:hyperlink>
      <w:r>
        <w:t xml:space="preserve"> </w:t>
      </w:r>
    </w:p>
    <w:p w14:paraId="7FFC1DBD" w14:textId="77777777" w:rsidR="00800220" w:rsidRPr="00800220" w:rsidRDefault="00800220" w:rsidP="00800220">
      <w:pPr>
        <w:pStyle w:val="ListParagraph"/>
        <w:numPr>
          <w:ilvl w:val="0"/>
          <w:numId w:val="43"/>
        </w:numPr>
        <w:rPr>
          <w:b/>
          <w:bCs/>
        </w:rPr>
      </w:pPr>
      <w:r w:rsidRPr="00800220">
        <w:rPr>
          <w:b/>
          <w:bCs/>
        </w:rPr>
        <w:lastRenderedPageBreak/>
        <w:t xml:space="preserve">GPNI, Groupement Professionnel National de l'Informatique : </w:t>
      </w:r>
      <w:r>
        <w:t xml:space="preserve">Défense, promotion et anticipation. Services : information, prévention, échange. Label et charte. Créé en 1961, le GPNI regroupe essentiellement des petites et moyennes SSII. </w:t>
      </w:r>
    </w:p>
    <w:p w14:paraId="7FFC1DBE" w14:textId="77777777" w:rsidR="00800220" w:rsidRDefault="00800220" w:rsidP="00800220">
      <w:pPr>
        <w:ind w:firstLine="405"/>
      </w:pPr>
      <w:r>
        <w:t xml:space="preserve">70 rue Marcel Aufran - 92300 Levallois Perret - Tél. : 01 55 90 06 30 - </w:t>
      </w:r>
      <w:hyperlink r:id="rId44" w:history="1">
        <w:r w:rsidRPr="00361B45">
          <w:rPr>
            <w:rStyle w:val="Hyperlink"/>
          </w:rPr>
          <w:t>www.gpni.com</w:t>
        </w:r>
      </w:hyperlink>
      <w:r>
        <w:t xml:space="preserve">  </w:t>
      </w:r>
    </w:p>
    <w:p w14:paraId="7FFC1DBF" w14:textId="77777777" w:rsidR="00800220" w:rsidRDefault="00800220" w:rsidP="00800220">
      <w:pPr>
        <w:pStyle w:val="ListParagraph"/>
        <w:numPr>
          <w:ilvl w:val="0"/>
          <w:numId w:val="43"/>
        </w:numPr>
      </w:pPr>
      <w:r w:rsidRPr="00800220">
        <w:rPr>
          <w:b/>
          <w:bCs/>
        </w:rPr>
        <w:t>Le Gun</w:t>
      </w:r>
      <w:r w:rsidRPr="00800220">
        <w:t xml:space="preserve">, club des managers des systèmes d'informations </w:t>
      </w:r>
      <w:hyperlink r:id="rId45" w:history="1">
        <w:r w:rsidRPr="00361B45">
          <w:rPr>
            <w:rStyle w:val="Hyperlink"/>
          </w:rPr>
          <w:t>http://www.gun.asso.fr</w:t>
        </w:r>
      </w:hyperlink>
      <w:r>
        <w:t xml:space="preserve"> </w:t>
      </w:r>
    </w:p>
    <w:p w14:paraId="7FFC1DC0" w14:textId="77777777" w:rsidR="00800220" w:rsidRDefault="00800220" w:rsidP="00800220">
      <w:pPr>
        <w:pStyle w:val="ListParagraph"/>
        <w:numPr>
          <w:ilvl w:val="0"/>
          <w:numId w:val="43"/>
        </w:numPr>
      </w:pPr>
      <w:r w:rsidRPr="00800220">
        <w:rPr>
          <w:b/>
          <w:bCs/>
        </w:rPr>
        <w:t>CIGREF</w:t>
      </w:r>
      <w:r w:rsidRPr="00800220">
        <w:t xml:space="preserve">, Club informatique des grandes entreprises françaises </w:t>
      </w:r>
      <w:hyperlink r:id="rId46" w:history="1">
        <w:r w:rsidRPr="00361B45">
          <w:rPr>
            <w:rStyle w:val="Hyperlink"/>
          </w:rPr>
          <w:t>www.cigref.fr</w:t>
        </w:r>
      </w:hyperlink>
      <w:r>
        <w:t xml:space="preserve"> </w:t>
      </w:r>
    </w:p>
    <w:p w14:paraId="7FFC1DC1" w14:textId="77777777" w:rsidR="00800220" w:rsidRDefault="00800220" w:rsidP="00800220">
      <w:pPr>
        <w:pStyle w:val="ListParagraph"/>
        <w:numPr>
          <w:ilvl w:val="0"/>
          <w:numId w:val="43"/>
        </w:numPr>
      </w:pPr>
      <w:r w:rsidRPr="00800220">
        <w:rPr>
          <w:b/>
          <w:bCs/>
        </w:rPr>
        <w:t>ANDSI</w:t>
      </w:r>
      <w:r w:rsidRPr="00800220">
        <w:t xml:space="preserve">, Association nationale des DSI, directeurs de systèmes d’information </w:t>
      </w:r>
      <w:hyperlink r:id="rId47" w:history="1">
        <w:r w:rsidRPr="00361B45">
          <w:rPr>
            <w:rStyle w:val="Hyperlink"/>
          </w:rPr>
          <w:t>www.andsi.fr</w:t>
        </w:r>
      </w:hyperlink>
      <w:r>
        <w:t xml:space="preserve"> </w:t>
      </w:r>
    </w:p>
    <w:p w14:paraId="7FFC1DC2" w14:textId="77777777" w:rsidR="00800220" w:rsidRDefault="00800220" w:rsidP="00800220">
      <w:pPr>
        <w:pStyle w:val="ListParagraph"/>
        <w:numPr>
          <w:ilvl w:val="0"/>
          <w:numId w:val="43"/>
        </w:numPr>
      </w:pPr>
      <w:r w:rsidRPr="00800220">
        <w:rPr>
          <w:b/>
          <w:bCs/>
        </w:rPr>
        <w:t>ANIF</w:t>
      </w:r>
      <w:r w:rsidRPr="00800220">
        <w:t xml:space="preserve">, association nationale des informaticiens de France </w:t>
      </w:r>
      <w:hyperlink r:id="rId48" w:history="1">
        <w:r w:rsidRPr="00361B45">
          <w:rPr>
            <w:rStyle w:val="Hyperlink"/>
          </w:rPr>
          <w:t>www.anif.fr</w:t>
        </w:r>
      </w:hyperlink>
      <w:r>
        <w:t xml:space="preserve"> </w:t>
      </w:r>
    </w:p>
    <w:p w14:paraId="7FFC1DC3" w14:textId="77777777" w:rsidR="00800220" w:rsidRDefault="00800220" w:rsidP="00896F3C">
      <w:pPr>
        <w:pStyle w:val="ListParagraph"/>
        <w:numPr>
          <w:ilvl w:val="0"/>
          <w:numId w:val="43"/>
        </w:numPr>
      </w:pPr>
      <w:r w:rsidRPr="00896F3C">
        <w:rPr>
          <w:b/>
          <w:bCs/>
        </w:rPr>
        <w:t>Geicet</w:t>
      </w:r>
      <w:r>
        <w:t>, groupement européen d'ingénierie et de conseil</w:t>
      </w:r>
      <w:r w:rsidR="00896F3C">
        <w:t xml:space="preserve"> en technologies : regroupe des </w:t>
      </w:r>
      <w:r>
        <w:t xml:space="preserve">sociétés de conseil en hautes technologies </w:t>
      </w:r>
      <w:hyperlink r:id="rId49" w:history="1">
        <w:r w:rsidR="00896F3C" w:rsidRPr="00361B45">
          <w:rPr>
            <w:rStyle w:val="Hyperlink"/>
          </w:rPr>
          <w:t>http://www.geicet.com/commissions.html</w:t>
        </w:r>
      </w:hyperlink>
      <w:r w:rsidR="00896F3C">
        <w:t xml:space="preserve"> </w:t>
      </w:r>
    </w:p>
    <w:p w14:paraId="7FFC1DC4" w14:textId="77777777" w:rsidR="00896F3C" w:rsidRDefault="007F3818" w:rsidP="00896F3C">
      <w:pPr>
        <w:pStyle w:val="ListParagraph"/>
        <w:ind w:left="547"/>
      </w:pPr>
      <w:r w:rsidRPr="007F3818">
        <w:rPr>
          <w:b/>
          <w:bCs/>
        </w:rPr>
        <w:t>iDATE</w:t>
      </w:r>
      <w:r>
        <w:t xml:space="preserve">, </w:t>
      </w:r>
      <w:r w:rsidRPr="007F3818">
        <w:t>Think tank spécialisé dans l’économie numérique</w:t>
      </w:r>
      <w:r>
        <w:t xml:space="preserve"> </w:t>
      </w:r>
      <w:hyperlink r:id="rId50" w:history="1">
        <w:r w:rsidRPr="00361B45">
          <w:rPr>
            <w:rStyle w:val="Hyperlink"/>
          </w:rPr>
          <w:t>www.idate.org</w:t>
        </w:r>
      </w:hyperlink>
      <w:r>
        <w:t xml:space="preserve"> </w:t>
      </w:r>
    </w:p>
    <w:p w14:paraId="7FFC1DC5" w14:textId="77777777" w:rsidR="00896F3C" w:rsidRDefault="00896F3C" w:rsidP="00896F3C">
      <w:pPr>
        <w:pStyle w:val="ListParagraph"/>
        <w:numPr>
          <w:ilvl w:val="0"/>
          <w:numId w:val="43"/>
        </w:numPr>
      </w:pPr>
      <w:r w:rsidRPr="00896F3C">
        <w:rPr>
          <w:b/>
          <w:bCs/>
        </w:rPr>
        <w:t>APP</w:t>
      </w:r>
      <w:r>
        <w:t>, Agence pour la Protection des Programmes</w:t>
      </w:r>
    </w:p>
    <w:p w14:paraId="7FFC1DC6" w14:textId="77777777" w:rsidR="00896F3C" w:rsidRDefault="00896F3C" w:rsidP="00896F3C">
      <w:pPr>
        <w:ind w:firstLine="405"/>
      </w:pPr>
      <w:r>
        <w:t xml:space="preserve">54 rue de Paradis 75010 Paris - Tél. : 01 40 35 03 03 - </w:t>
      </w:r>
      <w:hyperlink r:id="rId51" w:history="1">
        <w:r w:rsidRPr="00361B45">
          <w:rPr>
            <w:rStyle w:val="Hyperlink"/>
          </w:rPr>
          <w:t>http://app.legalis.net</w:t>
        </w:r>
      </w:hyperlink>
      <w:r>
        <w:t xml:space="preserve"> </w:t>
      </w:r>
    </w:p>
    <w:p w14:paraId="7FFC1DC7" w14:textId="77777777" w:rsidR="00896F3C" w:rsidRDefault="00896F3C" w:rsidP="00896F3C">
      <w:pPr>
        <w:pStyle w:val="ListParagraph"/>
        <w:numPr>
          <w:ilvl w:val="0"/>
          <w:numId w:val="43"/>
        </w:numPr>
      </w:pPr>
      <w:r w:rsidRPr="00896F3C">
        <w:rPr>
          <w:b/>
          <w:bCs/>
        </w:rPr>
        <w:t>INRIA</w:t>
      </w:r>
      <w:r>
        <w:t xml:space="preserve">, Institut National de Recherche en Informatique et Automatique Domaine de Voluceau - 78150 Rocquencourt - Tél. : 01 39 63 55 11 - </w:t>
      </w:r>
      <w:hyperlink r:id="rId52" w:history="1">
        <w:r w:rsidRPr="00361B45">
          <w:rPr>
            <w:rStyle w:val="Hyperlink"/>
          </w:rPr>
          <w:t>www.inria.fr</w:t>
        </w:r>
      </w:hyperlink>
      <w:r>
        <w:t xml:space="preserve"> </w:t>
      </w:r>
    </w:p>
    <w:p w14:paraId="7FFC1DC8" w14:textId="77777777" w:rsidR="00896F3C" w:rsidRDefault="00896F3C" w:rsidP="00896F3C">
      <w:pPr>
        <w:pStyle w:val="ListParagraph"/>
        <w:numPr>
          <w:ilvl w:val="0"/>
          <w:numId w:val="43"/>
        </w:numPr>
      </w:pPr>
      <w:r w:rsidRPr="00896F3C">
        <w:rPr>
          <w:b/>
          <w:bCs/>
        </w:rPr>
        <w:t>CNIL</w:t>
      </w:r>
      <w:r>
        <w:t xml:space="preserve">, Commission Nationale de l'Informatique et des Libertés. Elle étudie les problèmes liés au développement de l'informatique. </w:t>
      </w:r>
    </w:p>
    <w:p w14:paraId="7FFC1DC9" w14:textId="77777777" w:rsidR="00896F3C" w:rsidRDefault="00896F3C" w:rsidP="00896F3C">
      <w:pPr>
        <w:ind w:firstLine="405"/>
      </w:pPr>
      <w:r>
        <w:t xml:space="preserve">8 rue Vivienne - 75008 Paris - Tél. : 01 53 73 22 22 </w:t>
      </w:r>
      <w:hyperlink r:id="rId53" w:history="1">
        <w:r w:rsidRPr="00361B45">
          <w:rPr>
            <w:rStyle w:val="Hyperlink"/>
          </w:rPr>
          <w:t>www.cnil.fr</w:t>
        </w:r>
      </w:hyperlink>
      <w:r>
        <w:t xml:space="preserve"> </w:t>
      </w:r>
    </w:p>
    <w:p w14:paraId="7FFC1DCA" w14:textId="77777777" w:rsidR="007F3818" w:rsidRDefault="007F3818" w:rsidP="00896F3C">
      <w:pPr>
        <w:ind w:left="0"/>
      </w:pPr>
    </w:p>
    <w:p w14:paraId="7FFC1DCB" w14:textId="77777777" w:rsidR="0029334A" w:rsidRDefault="0029334A" w:rsidP="0029334A">
      <w:pPr>
        <w:pStyle w:val="Heading2"/>
      </w:pPr>
      <w:bookmarkStart w:id="96" w:name="_Ref451794248"/>
      <w:bookmarkStart w:id="97" w:name="_Toc454465603"/>
      <w:r>
        <w:t>La presse spécialisée</w:t>
      </w:r>
      <w:bookmarkEnd w:id="96"/>
      <w:bookmarkEnd w:id="97"/>
      <w:r>
        <w:t xml:space="preserve"> </w:t>
      </w:r>
    </w:p>
    <w:p w14:paraId="7FFC1DCC" w14:textId="77777777" w:rsidR="007F3818" w:rsidRDefault="007F3818" w:rsidP="007F3818">
      <w:pPr>
        <w:pStyle w:val="ListParagraph"/>
        <w:numPr>
          <w:ilvl w:val="0"/>
          <w:numId w:val="43"/>
        </w:numPr>
      </w:pPr>
      <w:r w:rsidRPr="007F3818">
        <w:rPr>
          <w:b/>
          <w:bCs/>
        </w:rPr>
        <w:t>Le Monde Informatique</w:t>
      </w:r>
      <w:r>
        <w:t xml:space="preserve"> </w:t>
      </w:r>
      <w:hyperlink r:id="rId54" w:history="1">
        <w:r w:rsidRPr="00361B45">
          <w:rPr>
            <w:rStyle w:val="Hyperlink"/>
          </w:rPr>
          <w:t>www.lemondeinformatique.fr</w:t>
        </w:r>
      </w:hyperlink>
      <w:r>
        <w:t xml:space="preserve"> et </w:t>
      </w:r>
      <w:hyperlink r:id="rId55" w:history="1">
        <w:r w:rsidRPr="00361B45">
          <w:rPr>
            <w:rStyle w:val="Hyperlink"/>
          </w:rPr>
          <w:t>www.lemondeducloud.fr</w:t>
        </w:r>
      </w:hyperlink>
      <w:r>
        <w:t xml:space="preserve"> </w:t>
      </w:r>
    </w:p>
    <w:p w14:paraId="7FFC1DCD" w14:textId="77777777" w:rsidR="007F3818" w:rsidRPr="007F3818" w:rsidRDefault="007F3818" w:rsidP="007F3818">
      <w:pPr>
        <w:pStyle w:val="ListParagraph"/>
        <w:numPr>
          <w:ilvl w:val="0"/>
          <w:numId w:val="43"/>
        </w:numPr>
      </w:pPr>
      <w:r w:rsidRPr="007F3818">
        <w:rPr>
          <w:b/>
          <w:bCs/>
        </w:rPr>
        <w:t>Usine-digitale</w:t>
      </w:r>
      <w:r>
        <w:t xml:space="preserve"> </w:t>
      </w:r>
      <w:r w:rsidRPr="007F3818">
        <w:rPr>
          <w:b/>
          <w:bCs/>
        </w:rPr>
        <w:t xml:space="preserve"> </w:t>
      </w:r>
      <w:hyperlink r:id="rId56" w:history="1">
        <w:r w:rsidRPr="00361B45">
          <w:rPr>
            <w:rStyle w:val="Hyperlink"/>
          </w:rPr>
          <w:t>www.usine-digitale.fr</w:t>
        </w:r>
      </w:hyperlink>
      <w:r>
        <w:t xml:space="preserve"> </w:t>
      </w:r>
    </w:p>
    <w:p w14:paraId="7FFC1DCE" w14:textId="77777777" w:rsidR="007F3818" w:rsidRDefault="007F3818" w:rsidP="007F3818">
      <w:pPr>
        <w:pStyle w:val="ListParagraph"/>
        <w:numPr>
          <w:ilvl w:val="0"/>
          <w:numId w:val="43"/>
        </w:numPr>
      </w:pPr>
      <w:r w:rsidRPr="007F3818">
        <w:rPr>
          <w:b/>
          <w:bCs/>
        </w:rPr>
        <w:t>01net</w:t>
      </w:r>
      <w:r>
        <w:t xml:space="preserve"> </w:t>
      </w:r>
      <w:hyperlink r:id="rId57" w:history="1">
        <w:r w:rsidRPr="00361B45">
          <w:rPr>
            <w:rStyle w:val="Hyperlink"/>
          </w:rPr>
          <w:t>www.01net.com</w:t>
        </w:r>
      </w:hyperlink>
      <w:r>
        <w:t xml:space="preserve"> </w:t>
      </w:r>
    </w:p>
    <w:p w14:paraId="7FFC1DCF" w14:textId="77777777" w:rsidR="007F3818" w:rsidRDefault="007F3818" w:rsidP="007F3818">
      <w:pPr>
        <w:pStyle w:val="ListParagraph"/>
        <w:numPr>
          <w:ilvl w:val="0"/>
          <w:numId w:val="43"/>
        </w:numPr>
      </w:pPr>
      <w:r w:rsidRPr="007F3818">
        <w:rPr>
          <w:b/>
          <w:bCs/>
        </w:rPr>
        <w:t>JDN</w:t>
      </w:r>
      <w:r>
        <w:t xml:space="preserve"> </w:t>
      </w:r>
      <w:hyperlink r:id="rId58" w:history="1">
        <w:r w:rsidRPr="00361B45">
          <w:rPr>
            <w:rStyle w:val="Hyperlink"/>
          </w:rPr>
          <w:t>www.journaldunet.com</w:t>
        </w:r>
      </w:hyperlink>
    </w:p>
    <w:p w14:paraId="7FFC1DD0" w14:textId="77777777" w:rsidR="007F3818" w:rsidRDefault="007F3818" w:rsidP="007F3818">
      <w:pPr>
        <w:pStyle w:val="ListParagraph"/>
        <w:numPr>
          <w:ilvl w:val="0"/>
          <w:numId w:val="43"/>
        </w:numPr>
      </w:pPr>
      <w:r w:rsidRPr="007F3818">
        <w:rPr>
          <w:b/>
          <w:bCs/>
        </w:rPr>
        <w:t>JDN Solutions</w:t>
      </w:r>
      <w:r>
        <w:t xml:space="preserve"> </w:t>
      </w:r>
      <w:hyperlink r:id="rId59" w:history="1">
        <w:r w:rsidRPr="00361B45">
          <w:rPr>
            <w:rStyle w:val="Hyperlink"/>
          </w:rPr>
          <w:t>www.journaldunet.com/solutions</w:t>
        </w:r>
      </w:hyperlink>
      <w:r>
        <w:t xml:space="preserve"> </w:t>
      </w:r>
    </w:p>
    <w:p w14:paraId="7FFC1DD1" w14:textId="77777777" w:rsidR="007F3818" w:rsidRDefault="007F3818" w:rsidP="007F3818">
      <w:pPr>
        <w:pStyle w:val="ListParagraph"/>
        <w:numPr>
          <w:ilvl w:val="0"/>
          <w:numId w:val="43"/>
        </w:numPr>
      </w:pPr>
      <w:r w:rsidRPr="007F3818">
        <w:rPr>
          <w:b/>
          <w:bCs/>
        </w:rPr>
        <w:t>Distributique</w:t>
      </w:r>
      <w:r>
        <w:t xml:space="preserve"> </w:t>
      </w:r>
      <w:hyperlink r:id="rId60" w:history="1">
        <w:r w:rsidRPr="00361B45">
          <w:rPr>
            <w:rStyle w:val="Hyperlink"/>
          </w:rPr>
          <w:t>www.distributique.com</w:t>
        </w:r>
      </w:hyperlink>
      <w:r>
        <w:t xml:space="preserve"> </w:t>
      </w:r>
    </w:p>
    <w:p w14:paraId="7FFC1DD2" w14:textId="77777777" w:rsidR="007F3818" w:rsidRDefault="007F3818" w:rsidP="007F3818">
      <w:pPr>
        <w:pStyle w:val="ListParagraph"/>
        <w:numPr>
          <w:ilvl w:val="0"/>
          <w:numId w:val="43"/>
        </w:numPr>
      </w:pPr>
      <w:r w:rsidRPr="007F3818">
        <w:rPr>
          <w:b/>
          <w:bCs/>
        </w:rPr>
        <w:t>ZNET</w:t>
      </w:r>
      <w:r>
        <w:t xml:space="preserve"> </w:t>
      </w:r>
      <w:hyperlink r:id="rId61" w:history="1">
        <w:r w:rsidRPr="00361B45">
          <w:rPr>
            <w:rStyle w:val="Hyperlink"/>
          </w:rPr>
          <w:t>www.znet.fr</w:t>
        </w:r>
      </w:hyperlink>
      <w:r>
        <w:t xml:space="preserve"> </w:t>
      </w:r>
    </w:p>
    <w:p w14:paraId="7FFC1DD3" w14:textId="77777777" w:rsidR="007F3818" w:rsidRPr="007F3818" w:rsidRDefault="007F3818" w:rsidP="007F3818">
      <w:pPr>
        <w:pStyle w:val="ListParagraph"/>
        <w:numPr>
          <w:ilvl w:val="0"/>
          <w:numId w:val="43"/>
        </w:numPr>
      </w:pPr>
      <w:r w:rsidRPr="007F3818">
        <w:rPr>
          <w:b/>
          <w:bCs/>
        </w:rPr>
        <w:t>Solutions IT &amp; Logiciels</w:t>
      </w:r>
      <w:r w:rsidRPr="007F3818">
        <w:t xml:space="preserve"> </w:t>
      </w:r>
      <w:hyperlink r:id="rId62" w:history="1">
        <w:r w:rsidRPr="007F3818">
          <w:rPr>
            <w:rStyle w:val="Hyperlink"/>
          </w:rPr>
          <w:t>www.solutions-logiciels.com</w:t>
        </w:r>
      </w:hyperlink>
      <w:r w:rsidRPr="007F3818">
        <w:t xml:space="preserve"> </w:t>
      </w:r>
    </w:p>
    <w:p w14:paraId="7FFC1DD4" w14:textId="77777777" w:rsidR="007F3818" w:rsidRDefault="007F3818" w:rsidP="007F3818">
      <w:pPr>
        <w:pStyle w:val="ListParagraph"/>
        <w:numPr>
          <w:ilvl w:val="0"/>
          <w:numId w:val="43"/>
        </w:numPr>
      </w:pPr>
      <w:r w:rsidRPr="007F3818">
        <w:rPr>
          <w:b/>
          <w:bCs/>
        </w:rPr>
        <w:t>Le MAG IT</w:t>
      </w:r>
      <w:r>
        <w:t xml:space="preserve"> </w:t>
      </w:r>
      <w:hyperlink r:id="rId63" w:history="1">
        <w:r w:rsidRPr="00361B45">
          <w:rPr>
            <w:rStyle w:val="Hyperlink"/>
          </w:rPr>
          <w:t>www.lemagit.fr</w:t>
        </w:r>
      </w:hyperlink>
      <w:r>
        <w:t xml:space="preserve"> </w:t>
      </w:r>
    </w:p>
    <w:p w14:paraId="7FFC1DD5" w14:textId="77777777" w:rsidR="007F3818" w:rsidRDefault="007F3818" w:rsidP="007F3818">
      <w:pPr>
        <w:pStyle w:val="ListParagraph"/>
        <w:numPr>
          <w:ilvl w:val="0"/>
          <w:numId w:val="43"/>
        </w:numPr>
      </w:pPr>
      <w:r w:rsidRPr="007F3818">
        <w:rPr>
          <w:b/>
          <w:bCs/>
        </w:rPr>
        <w:t>Réseaux-Télécoms.net</w:t>
      </w:r>
      <w:r>
        <w:t xml:space="preserve"> </w:t>
      </w:r>
      <w:hyperlink r:id="rId64" w:history="1">
        <w:r w:rsidRPr="00361B45">
          <w:rPr>
            <w:rStyle w:val="Hyperlink"/>
          </w:rPr>
          <w:t>www.reseaux-telecoms.net</w:t>
        </w:r>
      </w:hyperlink>
      <w:r>
        <w:t xml:space="preserve"> </w:t>
      </w:r>
    </w:p>
    <w:p w14:paraId="7FFC1DD6" w14:textId="77777777" w:rsidR="007F3818" w:rsidRDefault="007F3818" w:rsidP="007F3818">
      <w:pPr>
        <w:pStyle w:val="ListParagraph"/>
        <w:numPr>
          <w:ilvl w:val="0"/>
          <w:numId w:val="43"/>
        </w:numPr>
      </w:pPr>
      <w:r w:rsidRPr="007F3818">
        <w:rPr>
          <w:b/>
          <w:bCs/>
        </w:rPr>
        <w:t>ITRmanager</w:t>
      </w:r>
      <w:r>
        <w:t xml:space="preserve"> </w:t>
      </w:r>
      <w:hyperlink r:id="rId65" w:history="1">
        <w:r w:rsidRPr="00361B45">
          <w:rPr>
            <w:rStyle w:val="Hyperlink"/>
          </w:rPr>
          <w:t>www.itrmanager.com</w:t>
        </w:r>
      </w:hyperlink>
      <w:r>
        <w:t xml:space="preserve"> </w:t>
      </w:r>
    </w:p>
    <w:p w14:paraId="7FFC1DD7" w14:textId="77777777" w:rsidR="007F3818" w:rsidRDefault="007F3818" w:rsidP="007F3818">
      <w:pPr>
        <w:pStyle w:val="ListParagraph"/>
        <w:numPr>
          <w:ilvl w:val="0"/>
          <w:numId w:val="43"/>
        </w:numPr>
      </w:pPr>
      <w:r w:rsidRPr="007F3818">
        <w:rPr>
          <w:b/>
          <w:bCs/>
        </w:rPr>
        <w:t>CIO</w:t>
      </w:r>
      <w:r>
        <w:t xml:space="preserve">, actualités du système d'information </w:t>
      </w:r>
      <w:hyperlink r:id="rId66" w:history="1">
        <w:r w:rsidRPr="00361B45">
          <w:rPr>
            <w:rStyle w:val="Hyperlink"/>
          </w:rPr>
          <w:t>www.cio-online.com</w:t>
        </w:r>
      </w:hyperlink>
      <w:r>
        <w:t xml:space="preserve"> </w:t>
      </w:r>
    </w:p>
    <w:p w14:paraId="7FFC1DD8" w14:textId="77777777" w:rsidR="007F3818" w:rsidRDefault="007F3818" w:rsidP="007F3818">
      <w:pPr>
        <w:pStyle w:val="ListParagraph"/>
        <w:numPr>
          <w:ilvl w:val="0"/>
          <w:numId w:val="43"/>
        </w:numPr>
      </w:pPr>
      <w:r w:rsidRPr="007F3818">
        <w:rPr>
          <w:b/>
          <w:bCs/>
        </w:rPr>
        <w:t>I-Logiciels&amp;Services</w:t>
      </w:r>
      <w:r>
        <w:t xml:space="preserve"> Magazine d’information sur la filière des services informatiques et des logiciels. Il publie chaque année un livre d’or établissant un bilan de l’année. </w:t>
      </w:r>
      <w:hyperlink r:id="rId67" w:history="1">
        <w:r w:rsidRPr="00361B45">
          <w:rPr>
            <w:rStyle w:val="Hyperlink"/>
          </w:rPr>
          <w:t>www.ipresse.net</w:t>
        </w:r>
      </w:hyperlink>
      <w:r>
        <w:t xml:space="preserve"> </w:t>
      </w:r>
    </w:p>
    <w:p w14:paraId="7FFC1DD9" w14:textId="77777777" w:rsidR="007F3818" w:rsidRDefault="007F3818" w:rsidP="007F3818">
      <w:pPr>
        <w:pStyle w:val="ListParagraph"/>
        <w:numPr>
          <w:ilvl w:val="0"/>
          <w:numId w:val="43"/>
        </w:numPr>
      </w:pPr>
      <w:r w:rsidRPr="007F3818">
        <w:rPr>
          <w:b/>
          <w:bCs/>
        </w:rPr>
        <w:lastRenderedPageBreak/>
        <w:t>ChannelBiz</w:t>
      </w:r>
      <w:r>
        <w:t xml:space="preserve"> L'actu de la distribution avec les TIC </w:t>
      </w:r>
      <w:hyperlink r:id="rId68" w:history="1">
        <w:r w:rsidRPr="00361B45">
          <w:rPr>
            <w:rStyle w:val="Hyperlink"/>
          </w:rPr>
          <w:t>www.channelbiz.fr</w:t>
        </w:r>
      </w:hyperlink>
      <w:r>
        <w:t xml:space="preserve"> </w:t>
      </w:r>
    </w:p>
    <w:p w14:paraId="7FFC1DDA" w14:textId="77777777" w:rsidR="007F3818" w:rsidRDefault="007F3818" w:rsidP="007F3818">
      <w:pPr>
        <w:pStyle w:val="ListParagraph"/>
        <w:numPr>
          <w:ilvl w:val="0"/>
          <w:numId w:val="43"/>
        </w:numPr>
      </w:pPr>
      <w:r w:rsidRPr="007F3818">
        <w:rPr>
          <w:b/>
          <w:bCs/>
        </w:rPr>
        <w:t>infoDSI</w:t>
      </w:r>
      <w:r>
        <w:t xml:space="preserve"> Le quotidien des utilisateurs de l'informatique en entreprise. </w:t>
      </w:r>
      <w:hyperlink r:id="rId69" w:history="1">
        <w:r w:rsidRPr="00361B45">
          <w:rPr>
            <w:rStyle w:val="Hyperlink"/>
          </w:rPr>
          <w:t>www.infodsi.com</w:t>
        </w:r>
      </w:hyperlink>
      <w:r>
        <w:t xml:space="preserve"> </w:t>
      </w:r>
    </w:p>
    <w:p w14:paraId="7FFC1DDB" w14:textId="77777777" w:rsidR="007F3818" w:rsidRDefault="007F3818" w:rsidP="007F3818">
      <w:pPr>
        <w:pStyle w:val="ListParagraph"/>
        <w:numPr>
          <w:ilvl w:val="0"/>
          <w:numId w:val="43"/>
        </w:numPr>
      </w:pPr>
      <w:r w:rsidRPr="007F3818">
        <w:rPr>
          <w:b/>
          <w:bCs/>
        </w:rPr>
        <w:t>IT for Business</w:t>
      </w:r>
      <w:r>
        <w:t xml:space="preserve"> Stratégies et Management du Numérique </w:t>
      </w:r>
      <w:hyperlink r:id="rId70" w:history="1">
        <w:r w:rsidRPr="00361B45">
          <w:rPr>
            <w:rStyle w:val="Hyperlink"/>
          </w:rPr>
          <w:t>www.itforbusiness.fr</w:t>
        </w:r>
      </w:hyperlink>
      <w:r>
        <w:t xml:space="preserve"> </w:t>
      </w:r>
    </w:p>
    <w:p w14:paraId="7FFC1DDC" w14:textId="77777777" w:rsidR="0029334A" w:rsidRDefault="007F3818" w:rsidP="007F3818">
      <w:pPr>
        <w:pStyle w:val="ListParagraph"/>
        <w:numPr>
          <w:ilvl w:val="0"/>
          <w:numId w:val="43"/>
        </w:numPr>
      </w:pPr>
      <w:r w:rsidRPr="007F3818">
        <w:rPr>
          <w:b/>
          <w:bCs/>
        </w:rPr>
        <w:t>La Revue du Digital</w:t>
      </w:r>
      <w:r>
        <w:tab/>
        <w:t xml:space="preserve">L'info du business connecté </w:t>
      </w:r>
      <w:hyperlink r:id="rId71" w:history="1">
        <w:r w:rsidRPr="00361B45">
          <w:rPr>
            <w:rStyle w:val="Hyperlink"/>
          </w:rPr>
          <w:t>www.larevuedudigital.com</w:t>
        </w:r>
      </w:hyperlink>
    </w:p>
    <w:p w14:paraId="7FFC1DDD" w14:textId="77777777" w:rsidR="00076373" w:rsidRDefault="00076373" w:rsidP="00076373"/>
    <w:p w14:paraId="7FFC1DDE" w14:textId="77777777" w:rsidR="00814432" w:rsidRDefault="003E09C8" w:rsidP="003E09C8">
      <w:pPr>
        <w:pStyle w:val="Heading2"/>
      </w:pPr>
      <w:bookmarkStart w:id="98" w:name="_Ref451795854"/>
      <w:bookmarkStart w:id="99" w:name="_Toc454465604"/>
      <w:r>
        <w:t>Manifestations, salons et autres évènements</w:t>
      </w:r>
      <w:bookmarkEnd w:id="98"/>
      <w:bookmarkEnd w:id="99"/>
      <w:r>
        <w:t xml:space="preserve"> </w:t>
      </w:r>
    </w:p>
    <w:p w14:paraId="7FFC1DDF" w14:textId="77777777" w:rsidR="0014245C" w:rsidRDefault="007F3818" w:rsidP="0014245C">
      <w:pPr>
        <w:ind w:left="0"/>
      </w:pPr>
      <w:r>
        <w:t xml:space="preserve">Les salons autour de l'informatique sont trop nombreux pour être cités ici. On peut les retrouvez </w:t>
      </w:r>
      <w:r w:rsidR="0014245C">
        <w:t>ici :</w:t>
      </w:r>
    </w:p>
    <w:p w14:paraId="7FFC1DE0" w14:textId="77777777" w:rsidR="0014245C" w:rsidRDefault="0014245C" w:rsidP="0014245C">
      <w:pPr>
        <w:pStyle w:val="ListParagraph"/>
        <w:numPr>
          <w:ilvl w:val="0"/>
          <w:numId w:val="43"/>
        </w:numPr>
      </w:pPr>
      <w:r w:rsidRPr="0014245C">
        <w:rPr>
          <w:b/>
          <w:bCs/>
        </w:rPr>
        <w:t>Salon du numérique</w:t>
      </w:r>
      <w:r>
        <w:t xml:space="preserve"> </w:t>
      </w:r>
      <w:hyperlink r:id="rId72" w:history="1">
        <w:r w:rsidRPr="00361B45">
          <w:rPr>
            <w:rStyle w:val="Hyperlink"/>
          </w:rPr>
          <w:t>www.salondunumerique.com</w:t>
        </w:r>
      </w:hyperlink>
    </w:p>
    <w:p w14:paraId="7FFC1DE1" w14:textId="77777777" w:rsidR="0014245C" w:rsidRDefault="0014245C" w:rsidP="0014245C">
      <w:pPr>
        <w:pStyle w:val="ListParagraph"/>
        <w:numPr>
          <w:ilvl w:val="0"/>
          <w:numId w:val="43"/>
        </w:numPr>
      </w:pPr>
      <w:r w:rsidRPr="0014245C">
        <w:rPr>
          <w:b/>
          <w:bCs/>
        </w:rPr>
        <w:t>Salon informatique</w:t>
      </w:r>
      <w:r>
        <w:t xml:space="preserve"> </w:t>
      </w:r>
      <w:hyperlink r:id="rId73" w:history="1">
        <w:r w:rsidRPr="00361B45">
          <w:rPr>
            <w:rStyle w:val="Hyperlink"/>
          </w:rPr>
          <w:t>www.salon-entre-pros.fr/salon-informatique-professionnel</w:t>
        </w:r>
      </w:hyperlink>
      <w:r>
        <w:t xml:space="preserve">  </w:t>
      </w:r>
    </w:p>
    <w:p w14:paraId="7FFC1DE2" w14:textId="77777777" w:rsidR="00076373" w:rsidRDefault="0014245C" w:rsidP="005A7564">
      <w:pPr>
        <w:pStyle w:val="ListParagraph"/>
        <w:numPr>
          <w:ilvl w:val="0"/>
          <w:numId w:val="43"/>
        </w:numPr>
      </w:pPr>
      <w:r w:rsidRPr="0014245C">
        <w:rPr>
          <w:b/>
          <w:bCs/>
        </w:rPr>
        <w:t>Agenda des principales organisations</w:t>
      </w:r>
      <w:r w:rsidR="005A7564">
        <w:t xml:space="preserve"> par exemple : </w:t>
      </w:r>
      <w:hyperlink r:id="rId74" w:history="1">
        <w:r w:rsidR="005A7564" w:rsidRPr="00361B45">
          <w:rPr>
            <w:rStyle w:val="Hyperlink"/>
          </w:rPr>
          <w:t>www.lemondeinformatique.fr/agenda</w:t>
        </w:r>
      </w:hyperlink>
      <w:r w:rsidR="005A7564">
        <w:t xml:space="preserve"> </w:t>
      </w:r>
    </w:p>
    <w:p w14:paraId="7FFC1DE3" w14:textId="77777777" w:rsidR="0014245C" w:rsidRDefault="0014245C" w:rsidP="0014245C"/>
    <w:p w14:paraId="7FFC1DE4" w14:textId="77777777" w:rsidR="003E09C8" w:rsidRDefault="003E09C8" w:rsidP="003E09C8">
      <w:pPr>
        <w:pStyle w:val="Heading2"/>
      </w:pPr>
      <w:bookmarkStart w:id="100" w:name="_Toc454465605"/>
      <w:r>
        <w:t>Cabinets d’étude du secteur</w:t>
      </w:r>
      <w:bookmarkEnd w:id="100"/>
      <w:r>
        <w:t xml:space="preserve"> </w:t>
      </w:r>
    </w:p>
    <w:p w14:paraId="7FFC1DE5" w14:textId="77777777" w:rsidR="00896F3C" w:rsidRDefault="00896F3C" w:rsidP="00896F3C">
      <w:pPr>
        <w:pStyle w:val="ListParagraph"/>
        <w:numPr>
          <w:ilvl w:val="0"/>
          <w:numId w:val="43"/>
        </w:numPr>
      </w:pPr>
      <w:r w:rsidRPr="00896F3C">
        <w:rPr>
          <w:b/>
          <w:bCs/>
        </w:rPr>
        <w:t>PAC</w:t>
      </w:r>
      <w:r>
        <w:t xml:space="preserve">, Pierre Audouin Consultants, </w:t>
      </w:r>
      <w:hyperlink r:id="rId75" w:history="1">
        <w:r w:rsidRPr="00361B45">
          <w:rPr>
            <w:rStyle w:val="Hyperlink"/>
          </w:rPr>
          <w:t>www.pac-online.com</w:t>
        </w:r>
      </w:hyperlink>
      <w:r>
        <w:t xml:space="preserve"> </w:t>
      </w:r>
    </w:p>
    <w:p w14:paraId="7FFC1DE6" w14:textId="77777777" w:rsidR="00896F3C" w:rsidRPr="00896F3C" w:rsidRDefault="00896F3C" w:rsidP="00896F3C">
      <w:pPr>
        <w:pStyle w:val="ListParagraph"/>
        <w:numPr>
          <w:ilvl w:val="0"/>
          <w:numId w:val="43"/>
        </w:numPr>
        <w:rPr>
          <w:lang w:val="en-US"/>
        </w:rPr>
      </w:pPr>
      <w:r w:rsidRPr="007F3818">
        <w:rPr>
          <w:b/>
          <w:bCs/>
        </w:rPr>
        <w:t>Fo</w:t>
      </w:r>
      <w:r w:rsidRPr="00896F3C">
        <w:rPr>
          <w:b/>
          <w:bCs/>
          <w:lang w:val="en-US"/>
        </w:rPr>
        <w:t>rrester</w:t>
      </w:r>
      <w:r w:rsidRPr="00896F3C">
        <w:rPr>
          <w:lang w:val="en-US"/>
        </w:rPr>
        <w:t xml:space="preserve"> </w:t>
      </w:r>
      <w:r w:rsidRPr="00896F3C">
        <w:rPr>
          <w:b/>
          <w:bCs/>
          <w:lang w:val="en-US"/>
        </w:rPr>
        <w:t>Research</w:t>
      </w:r>
      <w:r w:rsidRPr="00896F3C">
        <w:rPr>
          <w:lang w:val="en-US"/>
        </w:rPr>
        <w:t xml:space="preserve">, </w:t>
      </w:r>
      <w:hyperlink r:id="rId76" w:history="1">
        <w:r w:rsidRPr="00896F3C">
          <w:rPr>
            <w:rStyle w:val="Hyperlink"/>
            <w:lang w:val="en-US"/>
          </w:rPr>
          <w:t>www.forrester.com</w:t>
        </w:r>
      </w:hyperlink>
      <w:r w:rsidRPr="00896F3C">
        <w:rPr>
          <w:lang w:val="en-US"/>
        </w:rPr>
        <w:t xml:space="preserve"> </w:t>
      </w:r>
    </w:p>
    <w:p w14:paraId="7FFC1DE7" w14:textId="77777777" w:rsidR="003E09C8" w:rsidRPr="00896F3C" w:rsidRDefault="00896F3C" w:rsidP="00896F3C">
      <w:pPr>
        <w:pStyle w:val="ListParagraph"/>
        <w:numPr>
          <w:ilvl w:val="0"/>
          <w:numId w:val="43"/>
        </w:numPr>
        <w:rPr>
          <w:lang w:val="en-US"/>
        </w:rPr>
      </w:pPr>
      <w:r w:rsidRPr="00896F3C">
        <w:rPr>
          <w:b/>
          <w:bCs/>
        </w:rPr>
        <w:t>Markess</w:t>
      </w:r>
      <w:r w:rsidRPr="00896F3C">
        <w:rPr>
          <w:lang w:val="en-US"/>
        </w:rPr>
        <w:t xml:space="preserve">, </w:t>
      </w:r>
      <w:hyperlink r:id="rId77" w:history="1">
        <w:r w:rsidRPr="00896F3C">
          <w:rPr>
            <w:rStyle w:val="Hyperlink"/>
            <w:lang w:val="en-US"/>
          </w:rPr>
          <w:t>www.markess.fr</w:t>
        </w:r>
      </w:hyperlink>
    </w:p>
    <w:p w14:paraId="7FFC1DE8" w14:textId="77777777" w:rsidR="00896F3C" w:rsidRDefault="00896F3C" w:rsidP="00896F3C">
      <w:pPr>
        <w:pStyle w:val="ListParagraph"/>
        <w:numPr>
          <w:ilvl w:val="0"/>
          <w:numId w:val="43"/>
        </w:numPr>
      </w:pPr>
      <w:r w:rsidRPr="00896F3C">
        <w:rPr>
          <w:b/>
          <w:bCs/>
        </w:rPr>
        <w:t>Gartner</w:t>
      </w:r>
      <w:r w:rsidRPr="00896F3C">
        <w:t xml:space="preserve">, </w:t>
      </w:r>
      <w:r>
        <w:t>T</w:t>
      </w:r>
      <w:r w:rsidRPr="00896F3C">
        <w:t>ient à jour différentes statistiques et maintient un service de nouvelles spécialisées.</w:t>
      </w:r>
      <w:r>
        <w:t xml:space="preserve"> </w:t>
      </w:r>
      <w:hyperlink r:id="rId78" w:history="1">
        <w:r w:rsidRPr="00361B45">
          <w:rPr>
            <w:rStyle w:val="Hyperlink"/>
          </w:rPr>
          <w:t>www.gartner.com</w:t>
        </w:r>
      </w:hyperlink>
      <w:r>
        <w:t xml:space="preserve"> </w:t>
      </w:r>
    </w:p>
    <w:p w14:paraId="7FFC1DE9" w14:textId="77777777" w:rsidR="00896F3C" w:rsidRDefault="00896F3C" w:rsidP="00896F3C">
      <w:pPr>
        <w:pStyle w:val="ListParagraph"/>
        <w:numPr>
          <w:ilvl w:val="0"/>
          <w:numId w:val="43"/>
        </w:numPr>
      </w:pPr>
      <w:r w:rsidRPr="00896F3C">
        <w:rPr>
          <w:b/>
          <w:bCs/>
        </w:rPr>
        <w:t>AP Management</w:t>
      </w:r>
      <w:r>
        <w:t>, cabinet de</w:t>
      </w:r>
      <w:r w:rsidRPr="00896F3C">
        <w:t xml:space="preserve"> conseil M&amp;A du secteur IT</w:t>
      </w:r>
      <w:r>
        <w:t xml:space="preserve"> </w:t>
      </w:r>
      <w:hyperlink r:id="rId79" w:history="1">
        <w:r w:rsidRPr="00361B45">
          <w:rPr>
            <w:rStyle w:val="Hyperlink"/>
          </w:rPr>
          <w:t>www.apmanagement.fr</w:t>
        </w:r>
      </w:hyperlink>
      <w:r>
        <w:t xml:space="preserve"> </w:t>
      </w:r>
    </w:p>
    <w:p w14:paraId="7FFC1DEA" w14:textId="77777777" w:rsidR="00896F3C" w:rsidRDefault="00896F3C" w:rsidP="00896F3C">
      <w:pPr>
        <w:pStyle w:val="ListParagraph"/>
        <w:numPr>
          <w:ilvl w:val="0"/>
          <w:numId w:val="43"/>
        </w:numPr>
      </w:pPr>
      <w:r w:rsidRPr="00896F3C">
        <w:rPr>
          <w:b/>
          <w:bCs/>
        </w:rPr>
        <w:t>Firmalliance</w:t>
      </w:r>
      <w:r>
        <w:t>, c</w:t>
      </w:r>
      <w:r w:rsidRPr="00896F3C">
        <w:t>onseil en rapprochement d'entreprises, spécialisé dans le domaine de l'informatique</w:t>
      </w:r>
      <w:r>
        <w:t xml:space="preserve"> </w:t>
      </w:r>
      <w:hyperlink r:id="rId80" w:history="1">
        <w:r w:rsidRPr="00361B45">
          <w:rPr>
            <w:rStyle w:val="Hyperlink"/>
          </w:rPr>
          <w:t>www.firmalliance.com</w:t>
        </w:r>
      </w:hyperlink>
      <w:r>
        <w:t xml:space="preserve"> </w:t>
      </w:r>
    </w:p>
    <w:p w14:paraId="7FFC1DEB" w14:textId="77777777" w:rsidR="00681F3A" w:rsidRDefault="00681F3A" w:rsidP="00681F3A">
      <w:pPr>
        <w:pStyle w:val="ListParagraph"/>
        <w:numPr>
          <w:ilvl w:val="0"/>
          <w:numId w:val="43"/>
        </w:numPr>
      </w:pPr>
      <w:r>
        <w:rPr>
          <w:b/>
          <w:bCs/>
        </w:rPr>
        <w:t xml:space="preserve">IDC, </w:t>
      </w:r>
      <w:r>
        <w:t xml:space="preserve">cabinet de référence en matière de nouvelles technologies. </w:t>
      </w:r>
      <w:r w:rsidR="0092020C">
        <w:t xml:space="preserve">Il publie un grand nombre d’informations chiffrées sur l’évolution en cours au sein de la filière informatique et ses différents segments. </w:t>
      </w:r>
    </w:p>
    <w:p w14:paraId="7FFC1DEC" w14:textId="77777777" w:rsidR="00076373" w:rsidRPr="00896F3C" w:rsidRDefault="00076373" w:rsidP="00076373"/>
    <w:p w14:paraId="7FFC1DED" w14:textId="77777777" w:rsidR="003E09C8" w:rsidRDefault="003E09C8" w:rsidP="003E09C8">
      <w:pPr>
        <w:pStyle w:val="Heading2"/>
      </w:pPr>
      <w:bookmarkStart w:id="101" w:name="_Ref451795844"/>
      <w:bookmarkStart w:id="102" w:name="_Toc454465606"/>
      <w:r>
        <w:t>Les pôles de compétitivité</w:t>
      </w:r>
      <w:bookmarkEnd w:id="101"/>
      <w:bookmarkEnd w:id="102"/>
      <w:r>
        <w:t xml:space="preserve"> </w:t>
      </w:r>
    </w:p>
    <w:p w14:paraId="7FFC1DEE" w14:textId="77777777" w:rsidR="003E09C8" w:rsidRDefault="003E09C8" w:rsidP="00076373">
      <w:r>
        <w:t xml:space="preserve">Les pôles des TIC se trouvent dans </w:t>
      </w:r>
      <w:hyperlink r:id="rId81" w:history="1">
        <w:r w:rsidRPr="00CF4647">
          <w:rPr>
            <w:rStyle w:val="Hyperlink"/>
          </w:rPr>
          <w:t>www.competitivite.gouv.fr</w:t>
        </w:r>
      </w:hyperlink>
      <w:r w:rsidR="00076373">
        <w:t xml:space="preserve">  </w:t>
      </w:r>
      <w:r>
        <w:t xml:space="preserve">On trouve plusieurs pépinières, pôles et technopôles liés aux TIC. Par exemple : </w:t>
      </w:r>
    </w:p>
    <w:p w14:paraId="7FFC1DEF" w14:textId="77777777" w:rsidR="00076373" w:rsidRPr="00076373" w:rsidRDefault="00076373" w:rsidP="00076373">
      <w:pPr>
        <w:pStyle w:val="ListParagraph"/>
        <w:numPr>
          <w:ilvl w:val="0"/>
          <w:numId w:val="43"/>
        </w:numPr>
      </w:pPr>
      <w:r w:rsidRPr="00076373">
        <w:rPr>
          <w:b/>
          <w:bCs/>
        </w:rPr>
        <w:t>Cap Digital</w:t>
      </w:r>
      <w:r w:rsidRPr="00076373">
        <w:t xml:space="preserve"> Paris-Region, pôle de compétitivité et de transformation numérique</w:t>
      </w:r>
      <w:r>
        <w:t xml:space="preserve">, </w:t>
      </w:r>
      <w:r w:rsidRPr="00076373">
        <w:t xml:space="preserve"> </w:t>
      </w:r>
    </w:p>
    <w:p w14:paraId="7FFC1DF0" w14:textId="77777777" w:rsidR="00076373" w:rsidRPr="00076373" w:rsidRDefault="00076373" w:rsidP="00076373">
      <w:pPr>
        <w:pStyle w:val="ListParagraph"/>
        <w:numPr>
          <w:ilvl w:val="0"/>
          <w:numId w:val="43"/>
        </w:numPr>
      </w:pPr>
      <w:r>
        <w:rPr>
          <w:b/>
          <w:bCs/>
        </w:rPr>
        <w:t>P</w:t>
      </w:r>
      <w:r w:rsidRPr="00076373">
        <w:rPr>
          <w:b/>
          <w:bCs/>
        </w:rPr>
        <w:t>ôle de compétitivité francilien System@tic</w:t>
      </w:r>
      <w:r>
        <w:t xml:space="preserve"> dédié aux systèmes complexes, dont la recherche en matière de logiciels libres, </w:t>
      </w:r>
    </w:p>
    <w:p w14:paraId="7FFC1DF1" w14:textId="77777777" w:rsidR="00076373" w:rsidRPr="00076373" w:rsidRDefault="00076373" w:rsidP="00B46272">
      <w:pPr>
        <w:pStyle w:val="ListParagraph"/>
        <w:numPr>
          <w:ilvl w:val="0"/>
          <w:numId w:val="43"/>
        </w:numPr>
      </w:pPr>
      <w:r w:rsidRPr="00076373">
        <w:rPr>
          <w:b/>
          <w:bCs/>
        </w:rPr>
        <w:t>Images et réseaux</w:t>
      </w:r>
      <w:r>
        <w:t xml:space="preserve"> </w:t>
      </w:r>
      <w:r w:rsidRPr="00076373">
        <w:t>rassemble le savoir-faire des industriels et des chercheurs de Bretagne et des Pays de la Loire dans les TIC</w:t>
      </w:r>
      <w:r w:rsidR="00B46272">
        <w:t xml:space="preserve">, </w:t>
      </w:r>
    </w:p>
    <w:p w14:paraId="7FFC1DF2" w14:textId="77777777" w:rsidR="00076373" w:rsidRDefault="00076373" w:rsidP="00B46272">
      <w:pPr>
        <w:pStyle w:val="ListParagraph"/>
        <w:numPr>
          <w:ilvl w:val="0"/>
          <w:numId w:val="43"/>
        </w:numPr>
      </w:pPr>
      <w:r w:rsidRPr="00076373">
        <w:rPr>
          <w:b/>
          <w:bCs/>
        </w:rPr>
        <w:t>Imaginove</w:t>
      </w:r>
      <w:r>
        <w:t xml:space="preserve"> </w:t>
      </w:r>
      <w:r w:rsidR="00B46272" w:rsidRPr="00B46272">
        <w:t>pôle de compétitivité de la filière des contenus et u</w:t>
      </w:r>
      <w:r w:rsidR="00B46272">
        <w:t xml:space="preserve">sages numériques en Rhône-Alpes, </w:t>
      </w:r>
    </w:p>
    <w:p w14:paraId="7FFC1DF3" w14:textId="77777777" w:rsidR="003E09C8" w:rsidRDefault="00076373" w:rsidP="00B46272">
      <w:pPr>
        <w:pStyle w:val="ListParagraph"/>
        <w:numPr>
          <w:ilvl w:val="0"/>
          <w:numId w:val="43"/>
        </w:numPr>
      </w:pPr>
      <w:r>
        <w:rPr>
          <w:b/>
          <w:bCs/>
        </w:rPr>
        <w:t>P</w:t>
      </w:r>
      <w:r w:rsidR="003E09C8" w:rsidRPr="00076373">
        <w:rPr>
          <w:b/>
          <w:bCs/>
        </w:rPr>
        <w:t>ôle d’excellence à Montpellier</w:t>
      </w:r>
      <w:r w:rsidR="003E09C8">
        <w:t xml:space="preserve"> dans le domaine de l’édition de logiciels</w:t>
      </w:r>
      <w:r w:rsidR="00B46272">
        <w:t xml:space="preserve">, </w:t>
      </w:r>
      <w:r w:rsidR="003E09C8">
        <w:t xml:space="preserve"> </w:t>
      </w:r>
    </w:p>
    <w:p w14:paraId="7FFC1DF4" w14:textId="77777777" w:rsidR="00CA3DF2" w:rsidRDefault="003E09C8" w:rsidP="00B46272">
      <w:pPr>
        <w:pStyle w:val="ListParagraph"/>
        <w:numPr>
          <w:ilvl w:val="0"/>
          <w:numId w:val="43"/>
        </w:numPr>
      </w:pPr>
      <w:r w:rsidRPr="00076373">
        <w:rPr>
          <w:b/>
          <w:bCs/>
        </w:rPr>
        <w:t>La Fondation Sophia Antipolis</w:t>
      </w:r>
      <w:r>
        <w:t xml:space="preserve"> avec une plate-forme de services à Antibes</w:t>
      </w:r>
      <w:r w:rsidR="00B46272">
        <w:t xml:space="preserve">. </w:t>
      </w:r>
    </w:p>
    <w:p w14:paraId="7FFC1DF5" w14:textId="77777777" w:rsidR="00806CF3" w:rsidRDefault="00814432" w:rsidP="00814432">
      <w:pPr>
        <w:pStyle w:val="Heading1"/>
        <w:numPr>
          <w:ilvl w:val="0"/>
          <w:numId w:val="0"/>
        </w:numPr>
        <w:ind w:left="431"/>
      </w:pPr>
      <w:bookmarkStart w:id="103" w:name="_Toc454465607"/>
      <w:r>
        <w:lastRenderedPageBreak/>
        <w:t>Conclusion prospective</w:t>
      </w:r>
      <w:bookmarkEnd w:id="103"/>
      <w:r>
        <w:t xml:space="preserve"> </w:t>
      </w:r>
    </w:p>
    <w:p w14:paraId="7FFC1DF6" w14:textId="77777777" w:rsidR="00BF2A3F" w:rsidRDefault="00814432" w:rsidP="00814432">
      <w:pPr>
        <w:pStyle w:val="Heading2"/>
        <w:numPr>
          <w:ilvl w:val="0"/>
          <w:numId w:val="0"/>
        </w:numPr>
        <w:ind w:left="578"/>
      </w:pPr>
      <w:bookmarkStart w:id="104" w:name="_Ref451821837"/>
      <w:bookmarkStart w:id="105" w:name="_Toc454465608"/>
      <w:r>
        <w:t>Analyse prospective</w:t>
      </w:r>
      <w:bookmarkEnd w:id="104"/>
      <w:bookmarkEnd w:id="105"/>
      <w:r>
        <w:t xml:space="preserve"> </w:t>
      </w:r>
    </w:p>
    <w:p w14:paraId="7FFC1DF7" w14:textId="77777777" w:rsidR="00814432" w:rsidRDefault="00814432" w:rsidP="00814432">
      <w:r>
        <w:t>Les ESN n’échappent pas au phénomène de digitalisation</w:t>
      </w:r>
      <w:r>
        <w:rPr>
          <w:rStyle w:val="FootnoteReference"/>
        </w:rPr>
        <w:footnoteReference w:id="19"/>
      </w:r>
      <w:r>
        <w:t xml:space="preserve">, elles doivent aussi se transformer. </w:t>
      </w:r>
      <w:r w:rsidRPr="00F2671B">
        <w:t>En effet, comme les entreprises des autres secteurs, elles doivent mettre en place des plateformes digitales pour faciliter la collaboration des équipes et des clients à travers des technologies modernes</w:t>
      </w:r>
      <w:r>
        <w:t xml:space="preserve">. </w:t>
      </w:r>
    </w:p>
    <w:p w14:paraId="7FFC1DF8" w14:textId="77777777" w:rsidR="00814432" w:rsidRDefault="00814432" w:rsidP="00814432">
      <w:r>
        <w:t>Nous pensons que ces entreprises risquent d’être victimes du phénomène d’ubérisation</w:t>
      </w:r>
      <w:bookmarkStart w:id="106" w:name="_Ref451821715"/>
      <w:r w:rsidR="00F10C46">
        <w:rPr>
          <w:rStyle w:val="FootnoteReference"/>
        </w:rPr>
        <w:footnoteReference w:id="20"/>
      </w:r>
      <w:bookmarkEnd w:id="106"/>
      <w:r>
        <w:t xml:space="preserve"> en plus. En effet, la volonté des DSI clientes de réduire les coûts et la pression des consultants qui veulent toujours gagner plus, les obligent à avoir des marges de plus en plus faibles. </w:t>
      </w:r>
      <w:r w:rsidRPr="003D2BA7">
        <w:t xml:space="preserve">Les technologies de l'information </w:t>
      </w:r>
      <w:r>
        <w:t>évoluent rapidement</w:t>
      </w:r>
      <w:r w:rsidRPr="003D2BA7">
        <w:t xml:space="preserve"> dans cette première période de 3</w:t>
      </w:r>
      <w:r w:rsidRPr="003D2BA7">
        <w:rPr>
          <w:vertAlign w:val="superscript"/>
        </w:rPr>
        <w:t>ème</w:t>
      </w:r>
      <w:r w:rsidRPr="003D2BA7">
        <w:t xml:space="preserve"> révolution industrielle à cause de</w:t>
      </w:r>
      <w:r>
        <w:t>s</w:t>
      </w:r>
      <w:r w:rsidRPr="003D2BA7">
        <w:t xml:space="preserve"> opportunités d'innovation</w:t>
      </w:r>
      <w:r>
        <w:t xml:space="preserve"> techniques</w:t>
      </w:r>
      <w:r w:rsidRPr="003D2BA7">
        <w:t>. Pour l'instant le modèle économique des ESN</w:t>
      </w:r>
      <w:r>
        <w:t xml:space="preserve"> qui consiste à recruter des consultants et à les placer chez les clients pendant la durée la plus longue possible,</w:t>
      </w:r>
      <w:r w:rsidRPr="003D2BA7">
        <w:t xml:space="preserve"> pourra résister encore </w:t>
      </w:r>
      <w:r>
        <w:t>pendant cette étape de révolution</w:t>
      </w:r>
      <w:r w:rsidRPr="003D2BA7">
        <w:t>. Cette période se stabilisera et les technologies seront standardisées</w:t>
      </w:r>
      <w:r>
        <w:t xml:space="preserve"> comme à chaque révolution industrielle</w:t>
      </w:r>
      <w:r w:rsidRPr="003D2BA7">
        <w:t>. La pression sur les prix va continuer et le modèle ne pourra plus résister.</w:t>
      </w:r>
      <w:r>
        <w:t xml:space="preserve"> Il est nécessaire de disrupter ce business model et trouver un moyen pour créer de la valeur pour les consultants qui veulent gagner plus, pour les clients qui veulent payer moins et pour les ESN en même temps. </w:t>
      </w:r>
    </w:p>
    <w:p w14:paraId="7FFC1DF9" w14:textId="77777777" w:rsidR="00814432" w:rsidRDefault="00814432" w:rsidP="00814432">
      <w:r>
        <w:t xml:space="preserve">L’idée est de mettre en place une plateforme (qu’on appelle ici l’Uber des ESN) qui fait le lien entre les consultants, qui deviennent </w:t>
      </w:r>
      <w:r w:rsidRPr="00326C02">
        <w:rPr>
          <w:u w:val="single"/>
        </w:rPr>
        <w:t>indépendants</w:t>
      </w:r>
      <w:r>
        <w:rPr>
          <w:u w:val="single"/>
        </w:rPr>
        <w:t>,</w:t>
      </w:r>
      <w:r>
        <w:t xml:space="preserve"> et les clients avec un système de « e-réputation » (c'est-à-dire de notation et recommandation des services offerts). A travers cette plateforme, les consultants pourront choisir leurs missions et pourrons fixer leur prix. Ce nouveau Uber recevra des cash-flows à travers des commissions sur chaque transaction entre un consultant et son client. Il existe déjà des plateformes de freelance qui proposent des missions à des indépendants. Mais cet Uber des ESN aura une plateforme plus riche sous forme de réseau social et proposes des services</w:t>
      </w:r>
      <w:r>
        <w:rPr>
          <w:rStyle w:val="FootnoteReference"/>
        </w:rPr>
        <w:footnoteReference w:id="21"/>
      </w:r>
      <w:r>
        <w:t xml:space="preserve"> pour les consultants comme des formations sous forme de MOOC</w:t>
      </w:r>
      <w:r>
        <w:rPr>
          <w:rStyle w:val="FootnoteReference"/>
        </w:rPr>
        <w:footnoteReference w:id="22"/>
      </w:r>
      <w:r>
        <w:t xml:space="preserve"> avec certifications et des services de gestion</w:t>
      </w:r>
      <w:r>
        <w:rPr>
          <w:rStyle w:val="FootnoteReference"/>
        </w:rPr>
        <w:footnoteReference w:id="23"/>
      </w:r>
      <w:r>
        <w:t xml:space="preserve"> et de collaboration en ligne avec d’autres consultants. Cette plateforme proposera aussi des accès aux plateformes des partenaires comme Gartner, PAC, IDC etc. qui sont des outils très intéressants pour les consultants car c’est une source de formation et de veille technologique. Cet Uber aura une très petite marge par transaction (c'est-à-dire par consultation) mais beaucoup plus de transactions que les plus grandes ESN d’aujourd’hui. Le</w:t>
      </w:r>
      <w:r w:rsidRPr="003D2BA7">
        <w:t xml:space="preserve"> commercial de la vieille ESN qui cache les meilleu</w:t>
      </w:r>
      <w:r>
        <w:t>res missions et ne les propose</w:t>
      </w:r>
      <w:r w:rsidRPr="003D2BA7">
        <w:t xml:space="preserve"> qu'à ses amis</w:t>
      </w:r>
      <w:r>
        <w:t xml:space="preserve"> sera remplacé par un algorithme de matching plus intelligent. Cet algorithme n’est pas seulement plus efficient mais en plus il </w:t>
      </w:r>
      <w:r>
        <w:lastRenderedPageBreak/>
        <w:t>travaille gratuitement, ou en tout cas avec un coût beaucoup plus faible.</w:t>
      </w:r>
      <w:r w:rsidRPr="003D2BA7">
        <w:t xml:space="preserve"> </w:t>
      </w:r>
      <w:r>
        <w:t>L</w:t>
      </w:r>
      <w:r w:rsidRPr="003D2BA7">
        <w:t>e chef d</w:t>
      </w:r>
      <w:r>
        <w:t xml:space="preserve">’un </w:t>
      </w:r>
      <w:r w:rsidRPr="003D2BA7">
        <w:t xml:space="preserve">projet </w:t>
      </w:r>
      <w:r>
        <w:t xml:space="preserve">digital </w:t>
      </w:r>
      <w:r w:rsidRPr="003D2BA7">
        <w:t xml:space="preserve">sera un consultant indépendant </w:t>
      </w:r>
      <w:r>
        <w:t>aussi et</w:t>
      </w:r>
      <w:r w:rsidRPr="003D2BA7">
        <w:t xml:space="preserve"> pourra </w:t>
      </w:r>
      <w:r>
        <w:t>communiquer avec</w:t>
      </w:r>
      <w:r w:rsidRPr="003D2BA7">
        <w:t xml:space="preserve"> son équipe en ligne. Cette plateforme permettra de constituer des équipes de projets venants de tous les pays pour collaborer sur </w:t>
      </w:r>
      <w:r>
        <w:t>un même projet pour un client</w:t>
      </w:r>
      <w:r w:rsidRPr="003D2BA7">
        <w:t xml:space="preserve">. </w:t>
      </w:r>
    </w:p>
    <w:p w14:paraId="7FFC1DFA" w14:textId="77777777" w:rsidR="00814432" w:rsidRDefault="00814432" w:rsidP="00814432">
      <w:r w:rsidRPr="003D2BA7">
        <w:t xml:space="preserve">La réputation est un facteur clé de succès dans ce secteur. Les consultants seront incités à offrir des prestations de qualité car ils seront notés par les clients. </w:t>
      </w:r>
    </w:p>
    <w:p w14:paraId="7FFC1DFB" w14:textId="77777777" w:rsidR="00814432" w:rsidRDefault="00814432" w:rsidP="00814432">
      <w:r>
        <w:t xml:space="preserve">L’existence potentielle de cet Uber menace principalement les grandes entreprises. Aujourd’hui ces entreprises ont les moyens pour investir dans cette plateforme. La grande entreprise qui lancera sa première plateforme pourra l’alimenter d’abord avec ses consultants et l’ouvrira ensuite aux consultants des autres entreprises. Ce qui lui permet d’absorber des concurrents à travers l’attraction de ses consultants et de grandir exponentiellement par effet réseau. </w:t>
      </w:r>
    </w:p>
    <w:p w14:paraId="7FFC1DFC" w14:textId="77777777" w:rsidR="00814432" w:rsidRDefault="00814432" w:rsidP="00814432">
      <w:r>
        <w:t>Même si ces grandes entreprises refusent de disrupter leur modèle actuel, le réseau social professionnel Linkedin</w:t>
      </w:r>
      <w:r>
        <w:rPr>
          <w:rStyle w:val="FootnoteReference"/>
        </w:rPr>
        <w:footnoteReference w:id="24"/>
      </w:r>
      <w:r>
        <w:t xml:space="preserve"> est bien placé pour le faire à leur place ! En effet, Linkedin a déjà racheté des entreprises de formations en ligne comme video2brain.com et Lynda.com qui sont des services très utiles pour les consultants qui veulent se former en continue. Le futur nous dira ce qui se passera dans ce secteur. </w:t>
      </w:r>
    </w:p>
    <w:p w14:paraId="7FFC1DFD" w14:textId="77777777" w:rsidR="001064EE" w:rsidRPr="00404DB7" w:rsidRDefault="001064EE" w:rsidP="001064EE">
      <w:pPr>
        <w:pStyle w:val="Heading2"/>
        <w:numPr>
          <w:ilvl w:val="0"/>
          <w:numId w:val="0"/>
        </w:numPr>
        <w:ind w:left="578"/>
      </w:pPr>
      <w:bookmarkStart w:id="107" w:name="_Toc454465609"/>
      <w:r w:rsidRPr="00404DB7">
        <w:t>Réserves</w:t>
      </w:r>
      <w:bookmarkEnd w:id="107"/>
      <w:r w:rsidRPr="00404DB7">
        <w:t xml:space="preserve"> </w:t>
      </w:r>
    </w:p>
    <w:p w14:paraId="7FFC1DFE" w14:textId="77777777" w:rsidR="001064EE" w:rsidRDefault="001064EE" w:rsidP="001064EE">
      <w:r>
        <w:t xml:space="preserve">Les résultats de cette étude sont à prendre en tenant compte des réserves suivantes : </w:t>
      </w:r>
    </w:p>
    <w:p w14:paraId="7FFC1DFF" w14:textId="77777777" w:rsidR="001064EE" w:rsidRDefault="001064EE" w:rsidP="001064EE">
      <w:pPr>
        <w:pStyle w:val="ListParagraph"/>
        <w:numPr>
          <w:ilvl w:val="0"/>
          <w:numId w:val="27"/>
        </w:numPr>
      </w:pPr>
      <w:r>
        <w:t>L’analyse du secteur 6202A seul n’est pas très pertinente pour comprendre l’activité des ESN. En effet, les entreprises de ce secteur ne font pas que des activités de conseils. Le</w:t>
      </w:r>
      <w:r w:rsidR="00EF2230">
        <w:t xml:space="preserve">s </w:t>
      </w:r>
      <w:r>
        <w:t xml:space="preserve">clients </w:t>
      </w:r>
      <w:r w:rsidR="00EF2230">
        <w:t xml:space="preserve">ne </w:t>
      </w:r>
      <w:r>
        <w:t xml:space="preserve">veulent </w:t>
      </w:r>
      <w:r w:rsidR="00EF2230">
        <w:t>pas que du conseil</w:t>
      </w:r>
      <w:r>
        <w:t xml:space="preserve">. </w:t>
      </w:r>
      <w:r w:rsidR="00EF2230">
        <w:t>Ils cherchent aussi de vraies mises</w:t>
      </w:r>
      <w:r>
        <w:t xml:space="preserve"> en place de systèmes d’information qui sont des activités de secteurs voisins, </w:t>
      </w:r>
    </w:p>
    <w:p w14:paraId="7FFC1E00" w14:textId="77777777" w:rsidR="001064EE" w:rsidRDefault="001064EE" w:rsidP="001064EE">
      <w:pPr>
        <w:pStyle w:val="ListParagraph"/>
        <w:numPr>
          <w:ilvl w:val="0"/>
          <w:numId w:val="27"/>
        </w:numPr>
      </w:pPr>
      <w:r>
        <w:t>Pour certains grands groupes diversifiés nous devons analyser encore les rapports de gestion pour distinguer la « business strategy » de la « corporate strategy »</w:t>
      </w:r>
      <w:r>
        <w:rPr>
          <w:rStyle w:val="FootnoteReference"/>
        </w:rPr>
        <w:footnoteReference w:id="25"/>
      </w:r>
      <w:r>
        <w:t xml:space="preserve"> pour mieux comprendre la concurrence à l’intérieure du secteur, </w:t>
      </w:r>
    </w:p>
    <w:p w14:paraId="7FFC1E01" w14:textId="77777777" w:rsidR="001064EE" w:rsidRDefault="001064EE" w:rsidP="001064EE">
      <w:pPr>
        <w:pStyle w:val="ListParagraph"/>
        <w:numPr>
          <w:ilvl w:val="0"/>
          <w:numId w:val="27"/>
        </w:numPr>
      </w:pPr>
      <w:r>
        <w:t xml:space="preserve">Pour les plus petites entreprises, il nous manque des informations stratégiques pour pouvoir les positionner avec plus de précision, </w:t>
      </w:r>
    </w:p>
    <w:p w14:paraId="7FFC1E02" w14:textId="77777777" w:rsidR="001064EE" w:rsidRDefault="001064EE" w:rsidP="001064EE">
      <w:pPr>
        <w:pStyle w:val="ListParagraph"/>
        <w:numPr>
          <w:ilvl w:val="0"/>
          <w:numId w:val="27"/>
        </w:numPr>
      </w:pPr>
      <w:r>
        <w:t>Pour construire la carte du secteur, nous avons construit un échantillon d’entreprise en sélectionnant le top 100 classé selon la part de marché. Cette méthode d’échantillonnage n’est certainement pas la plus pertinente d’un point de vue scientifique car les autres 20 000 très petites entreprises par rapport au top 100 et qui ont près de 30% du marché ne sont pas représentées</w:t>
      </w:r>
      <w:r>
        <w:rPr>
          <w:rStyle w:val="FootnoteReference"/>
        </w:rPr>
        <w:footnoteReference w:id="26"/>
      </w:r>
      <w:r>
        <w:t xml:space="preserve">. </w:t>
      </w:r>
    </w:p>
    <w:p w14:paraId="7FFC1E03" w14:textId="77777777" w:rsidR="00EF2230" w:rsidRDefault="00F35980" w:rsidP="001064EE">
      <w:pPr>
        <w:pStyle w:val="ListParagraph"/>
        <w:numPr>
          <w:ilvl w:val="0"/>
          <w:numId w:val="27"/>
        </w:numPr>
      </w:pPr>
      <w:r>
        <w:t xml:space="preserve">Nous avons estimé certaines statistiques en se basant sur les données que nous avons pu récupérer de la base Diane, de l’INSEE et d’autres ressources. Cette base de données n’est pas complète et contient une partie non négligeable de données manquantes. Il serait donc possible d’améliorer la qualité des résultats en améliorant la qualité des données utilisées. </w:t>
      </w:r>
    </w:p>
    <w:p w14:paraId="7FFC1E04" w14:textId="77777777" w:rsidR="00BF3C54" w:rsidRDefault="00BF3C54" w:rsidP="00BF3C54">
      <w:pPr>
        <w:pStyle w:val="Heading1"/>
        <w:numPr>
          <w:ilvl w:val="0"/>
          <w:numId w:val="0"/>
        </w:numPr>
        <w:ind w:left="431"/>
      </w:pPr>
      <w:bookmarkStart w:id="108" w:name="_Ref451823138"/>
      <w:bookmarkStart w:id="109" w:name="_Toc454465610"/>
      <w:r>
        <w:lastRenderedPageBreak/>
        <w:t>Annexe</w:t>
      </w:r>
      <w:bookmarkEnd w:id="108"/>
      <w:r w:rsidR="0053087D">
        <w:t xml:space="preserve"> : </w:t>
      </w:r>
      <w:r w:rsidR="0053087D" w:rsidRPr="0053087D">
        <w:t>Détails des groupes stratégiques</w:t>
      </w:r>
      <w:bookmarkEnd w:id="109"/>
      <w:r>
        <w:t xml:space="preserve">  </w:t>
      </w:r>
    </w:p>
    <w:p w14:paraId="7FFC1E05" w14:textId="77777777" w:rsidR="00BF3C54" w:rsidRDefault="00BF3C54" w:rsidP="00BF3C54">
      <w:r>
        <w:t>Nous avons classé les entreprises dans ces groupes en se basant sur les informations collectées qui décrivent leurs activités, leurs principaux clients, leurs principaux services et d’autres informations stratégiques qui se trouvent dans l’onglet « </w:t>
      </w:r>
      <w:r w:rsidRPr="00BF3C54">
        <w:t>Top 100 par groupe stratégique</w:t>
      </w:r>
      <w:r>
        <w:t xml:space="preserve"> » du document Excel joint à cette étude. </w:t>
      </w:r>
    </w:p>
    <w:p w14:paraId="7FFC1E06" w14:textId="77777777" w:rsidR="00BF3C54" w:rsidRDefault="00BF3C54" w:rsidP="00BF3C54">
      <w:pPr>
        <w:pStyle w:val="Caption"/>
        <w:keepNext/>
        <w:jc w:val="center"/>
      </w:pPr>
      <w:r>
        <w:t xml:space="preserve">Tableau </w:t>
      </w:r>
      <w:r w:rsidR="00567BB5">
        <w:fldChar w:fldCharType="begin"/>
      </w:r>
      <w:r w:rsidR="007E7518">
        <w:instrText xml:space="preserve"> SEQ Tableau \* ARABIC </w:instrText>
      </w:r>
      <w:r w:rsidR="00567BB5">
        <w:fldChar w:fldCharType="separate"/>
      </w:r>
      <w:r w:rsidR="00CB4331">
        <w:rPr>
          <w:noProof/>
        </w:rPr>
        <w:t>1</w:t>
      </w:r>
      <w:r w:rsidR="00567BB5">
        <w:rPr>
          <w:noProof/>
        </w:rPr>
        <w:fldChar w:fldCharType="end"/>
      </w:r>
      <w:r>
        <w:t xml:space="preserve"> : entreprises du groupe stratégique des "Grands généralistes"</w:t>
      </w:r>
    </w:p>
    <w:p w14:paraId="7FFC1E07" w14:textId="77777777" w:rsidR="00BF3C54" w:rsidRDefault="00BF3C54" w:rsidP="00BF3C54">
      <w:pPr>
        <w:tabs>
          <w:tab w:val="left" w:pos="-709"/>
        </w:tabs>
        <w:ind w:left="0"/>
        <w:jc w:val="center"/>
      </w:pPr>
      <w:r>
        <w:rPr>
          <w:noProof/>
        </w:rPr>
        <w:drawing>
          <wp:inline distT="0" distB="0" distL="0" distR="0" wp14:anchorId="7FFC1E50" wp14:editId="7FFC1E51">
            <wp:extent cx="4710223" cy="18009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4716185" cy="1803229"/>
                    </a:xfrm>
                    <a:prstGeom prst="rect">
                      <a:avLst/>
                    </a:prstGeom>
                  </pic:spPr>
                </pic:pic>
              </a:graphicData>
            </a:graphic>
          </wp:inline>
        </w:drawing>
      </w:r>
    </w:p>
    <w:p w14:paraId="7FFC1E08" w14:textId="77777777" w:rsidR="00BF3C54" w:rsidRDefault="00BF3C54" w:rsidP="00BF3C54">
      <w:pPr>
        <w:tabs>
          <w:tab w:val="left" w:pos="-709"/>
        </w:tabs>
        <w:ind w:left="0"/>
        <w:jc w:val="center"/>
      </w:pPr>
    </w:p>
    <w:p w14:paraId="7FFC1E09" w14:textId="77777777" w:rsidR="00BF3C54" w:rsidRDefault="00BF3C54" w:rsidP="00BF3C54">
      <w:pPr>
        <w:pStyle w:val="Caption"/>
        <w:keepNext/>
        <w:jc w:val="center"/>
      </w:pPr>
      <w:r>
        <w:t xml:space="preserve">Tableau </w:t>
      </w:r>
      <w:r w:rsidR="00567BB5">
        <w:fldChar w:fldCharType="begin"/>
      </w:r>
      <w:r w:rsidR="007E7518">
        <w:instrText xml:space="preserve"> SEQ Tableau \* ARABIC </w:instrText>
      </w:r>
      <w:r w:rsidR="00567BB5">
        <w:fldChar w:fldCharType="separate"/>
      </w:r>
      <w:r w:rsidR="00CB4331">
        <w:rPr>
          <w:noProof/>
        </w:rPr>
        <w:t>2</w:t>
      </w:r>
      <w:r w:rsidR="00567BB5">
        <w:rPr>
          <w:noProof/>
        </w:rPr>
        <w:fldChar w:fldCharType="end"/>
      </w:r>
      <w:r w:rsidRPr="00DE3F4B">
        <w:t xml:space="preserve"> : entreprises du groupe stratégique des "</w:t>
      </w:r>
      <w:r>
        <w:t>Talents</w:t>
      </w:r>
      <w:r w:rsidRPr="00DE3F4B">
        <w:t>"</w:t>
      </w:r>
    </w:p>
    <w:p w14:paraId="7FFC1E0A" w14:textId="77777777" w:rsidR="00BF3C54" w:rsidRDefault="00BF3C54" w:rsidP="00BF3C54">
      <w:pPr>
        <w:pStyle w:val="Graph"/>
      </w:pPr>
      <w:r>
        <w:drawing>
          <wp:inline distT="0" distB="0" distL="0" distR="0" wp14:anchorId="7FFC1E52" wp14:editId="7FFC1E53">
            <wp:extent cx="4795284" cy="14915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4809802" cy="1496105"/>
                    </a:xfrm>
                    <a:prstGeom prst="rect">
                      <a:avLst/>
                    </a:prstGeom>
                  </pic:spPr>
                </pic:pic>
              </a:graphicData>
            </a:graphic>
          </wp:inline>
        </w:drawing>
      </w:r>
    </w:p>
    <w:p w14:paraId="7FFC1E0B" w14:textId="77777777" w:rsidR="00BF3C54" w:rsidRDefault="00BF3C54" w:rsidP="00BF3C54">
      <w:pPr>
        <w:tabs>
          <w:tab w:val="left" w:pos="-709"/>
        </w:tabs>
        <w:ind w:left="0"/>
      </w:pPr>
    </w:p>
    <w:p w14:paraId="7FFC1E0C" w14:textId="77777777" w:rsidR="00BF3C54" w:rsidRDefault="00BF3C54" w:rsidP="00BF3C54">
      <w:pPr>
        <w:pStyle w:val="Caption"/>
        <w:keepNext/>
        <w:jc w:val="center"/>
      </w:pPr>
      <w:r>
        <w:lastRenderedPageBreak/>
        <w:t xml:space="preserve">Tableau </w:t>
      </w:r>
      <w:r w:rsidR="00567BB5">
        <w:fldChar w:fldCharType="begin"/>
      </w:r>
      <w:r w:rsidR="007E7518">
        <w:instrText xml:space="preserve"> SEQ Tableau \* ARABIC </w:instrText>
      </w:r>
      <w:r w:rsidR="00567BB5">
        <w:fldChar w:fldCharType="separate"/>
      </w:r>
      <w:r w:rsidR="00CB4331">
        <w:rPr>
          <w:noProof/>
        </w:rPr>
        <w:t>3</w:t>
      </w:r>
      <w:r w:rsidR="00567BB5">
        <w:rPr>
          <w:noProof/>
        </w:rPr>
        <w:fldChar w:fldCharType="end"/>
      </w:r>
      <w:r>
        <w:t xml:space="preserve"> </w:t>
      </w:r>
      <w:r w:rsidRPr="006B5433">
        <w:t>: entreprises du groupe stratégique des "</w:t>
      </w:r>
      <w:r>
        <w:t>Petits</w:t>
      </w:r>
      <w:r w:rsidRPr="006B5433">
        <w:t xml:space="preserve"> généralistes"</w:t>
      </w:r>
    </w:p>
    <w:p w14:paraId="7FFC1E0D" w14:textId="77777777" w:rsidR="00BF3C54" w:rsidRDefault="00BF3C54" w:rsidP="00BF3C54">
      <w:pPr>
        <w:pStyle w:val="Graph"/>
      </w:pPr>
      <w:r>
        <w:drawing>
          <wp:inline distT="0" distB="0" distL="0" distR="0" wp14:anchorId="7FFC1E54" wp14:editId="7FFC1E55">
            <wp:extent cx="5130165" cy="38436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130165" cy="3843655"/>
                    </a:xfrm>
                    <a:prstGeom prst="rect">
                      <a:avLst/>
                    </a:prstGeom>
                  </pic:spPr>
                </pic:pic>
              </a:graphicData>
            </a:graphic>
          </wp:inline>
        </w:drawing>
      </w:r>
    </w:p>
    <w:p w14:paraId="7FFC1E0E" w14:textId="77777777" w:rsidR="00BF3C54" w:rsidRDefault="00BF3C54" w:rsidP="00BF3C54">
      <w:pPr>
        <w:tabs>
          <w:tab w:val="left" w:pos="-709"/>
        </w:tabs>
        <w:ind w:left="0"/>
      </w:pPr>
    </w:p>
    <w:p w14:paraId="7FFC1E0F" w14:textId="77777777" w:rsidR="00BF3C54" w:rsidRDefault="00BF3C54" w:rsidP="00BF3C54">
      <w:pPr>
        <w:pStyle w:val="Caption"/>
        <w:keepNext/>
        <w:jc w:val="center"/>
      </w:pPr>
      <w:r>
        <w:lastRenderedPageBreak/>
        <w:t xml:space="preserve">Tableau </w:t>
      </w:r>
      <w:r w:rsidR="00567BB5">
        <w:fldChar w:fldCharType="begin"/>
      </w:r>
      <w:r w:rsidR="007E7518">
        <w:instrText xml:space="preserve"> SEQ Tableau \* ARABIC </w:instrText>
      </w:r>
      <w:r w:rsidR="00567BB5">
        <w:fldChar w:fldCharType="separate"/>
      </w:r>
      <w:r w:rsidR="00CB4331">
        <w:rPr>
          <w:noProof/>
        </w:rPr>
        <w:t>4</w:t>
      </w:r>
      <w:r w:rsidR="00567BB5">
        <w:rPr>
          <w:noProof/>
        </w:rPr>
        <w:fldChar w:fldCharType="end"/>
      </w:r>
      <w:r w:rsidRPr="00444D7D">
        <w:t xml:space="preserve"> : entreprises du groupe stratégique des "</w:t>
      </w:r>
      <w:r>
        <w:t>Spécialistes métier</w:t>
      </w:r>
      <w:r w:rsidRPr="00444D7D">
        <w:t>"</w:t>
      </w:r>
    </w:p>
    <w:p w14:paraId="7FFC1E10" w14:textId="77777777" w:rsidR="00BF3C54" w:rsidRDefault="00BF3C54" w:rsidP="00BF3C54">
      <w:pPr>
        <w:pStyle w:val="Graph"/>
      </w:pPr>
      <w:r>
        <w:drawing>
          <wp:inline distT="0" distB="0" distL="0" distR="0" wp14:anchorId="7FFC1E56" wp14:editId="7FFC1E57">
            <wp:extent cx="5130165" cy="46805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130165" cy="4680585"/>
                    </a:xfrm>
                    <a:prstGeom prst="rect">
                      <a:avLst/>
                    </a:prstGeom>
                  </pic:spPr>
                </pic:pic>
              </a:graphicData>
            </a:graphic>
          </wp:inline>
        </w:drawing>
      </w:r>
    </w:p>
    <w:p w14:paraId="7FFC1E11" w14:textId="77777777" w:rsidR="00BF3C54" w:rsidRDefault="00BF3C54" w:rsidP="00BF3C54">
      <w:pPr>
        <w:tabs>
          <w:tab w:val="left" w:pos="-709"/>
        </w:tabs>
        <w:ind w:left="0"/>
      </w:pPr>
    </w:p>
    <w:p w14:paraId="7FFC1E12" w14:textId="77777777" w:rsidR="00BF3C54" w:rsidRDefault="00BF3C54" w:rsidP="00BF3C54">
      <w:pPr>
        <w:pStyle w:val="Caption"/>
        <w:keepNext/>
        <w:jc w:val="center"/>
      </w:pPr>
      <w:r>
        <w:lastRenderedPageBreak/>
        <w:t xml:space="preserve">Tableau </w:t>
      </w:r>
      <w:r w:rsidR="00567BB5">
        <w:fldChar w:fldCharType="begin"/>
      </w:r>
      <w:r w:rsidR="007E7518">
        <w:instrText xml:space="preserve"> SEQ Tableau \* ARABIC </w:instrText>
      </w:r>
      <w:r w:rsidR="00567BB5">
        <w:fldChar w:fldCharType="separate"/>
      </w:r>
      <w:r w:rsidR="00CB4331">
        <w:rPr>
          <w:noProof/>
        </w:rPr>
        <w:t>5</w:t>
      </w:r>
      <w:r w:rsidR="00567BB5">
        <w:rPr>
          <w:noProof/>
        </w:rPr>
        <w:fldChar w:fldCharType="end"/>
      </w:r>
      <w:r w:rsidRPr="00E2223F">
        <w:t xml:space="preserve"> : entreprises du groupe stratégique des "</w:t>
      </w:r>
      <w:r>
        <w:t>Experts technique</w:t>
      </w:r>
      <w:r w:rsidRPr="00E2223F">
        <w:t>"</w:t>
      </w:r>
    </w:p>
    <w:p w14:paraId="7FFC1E13" w14:textId="77777777" w:rsidR="00814432" w:rsidRPr="00770243" w:rsidRDefault="00BF3C54" w:rsidP="00BF3C54">
      <w:pPr>
        <w:pStyle w:val="Graph"/>
      </w:pPr>
      <w:r>
        <w:drawing>
          <wp:inline distT="0" distB="0" distL="0" distR="0" wp14:anchorId="7FFC1E58" wp14:editId="7FFC1E59">
            <wp:extent cx="4108802" cy="51142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4116700" cy="5124091"/>
                    </a:xfrm>
                    <a:prstGeom prst="rect">
                      <a:avLst/>
                    </a:prstGeom>
                  </pic:spPr>
                </pic:pic>
              </a:graphicData>
            </a:graphic>
          </wp:inline>
        </w:drawing>
      </w:r>
      <w:r>
        <w:t xml:space="preserve"> </w:t>
      </w:r>
    </w:p>
    <w:sectPr w:rsidR="00814432" w:rsidRPr="00770243" w:rsidSect="00154899">
      <w:headerReference w:type="default" r:id="rId87"/>
      <w:footerReference w:type="default" r:id="rId88"/>
      <w:headerReference w:type="first" r:id="rId89"/>
      <w:pgSz w:w="16838" w:h="11906" w:orient="landscape"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68665" w14:textId="77777777" w:rsidR="00A06F0C" w:rsidRDefault="00A06F0C" w:rsidP="00AF22F5">
      <w:r>
        <w:separator/>
      </w:r>
    </w:p>
  </w:endnote>
  <w:endnote w:type="continuationSeparator" w:id="0">
    <w:p w14:paraId="1B760288" w14:textId="77777777" w:rsidR="00A06F0C" w:rsidRDefault="00A06F0C" w:rsidP="00AF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1E63" w14:textId="77777777" w:rsidR="00CB4331" w:rsidRDefault="00CB4331" w:rsidP="008E474D">
    <w:pPr>
      <w:pStyle w:val="Footer"/>
      <w:jc w:val="right"/>
    </w:pPr>
    <w:sdt>
      <w:sdtPr>
        <w:id w:val="9659442"/>
        <w:docPartObj>
          <w:docPartGallery w:val="Page Numbers (Bottom of Page)"/>
          <w:docPartUnique/>
        </w:docPartObj>
      </w:sdtPr>
      <w:sdtContent>
        <w:r>
          <w:fldChar w:fldCharType="begin"/>
        </w:r>
        <w:r>
          <w:instrText xml:space="preserve"> PAGE   \* MERGEFORMAT </w:instrText>
        </w:r>
        <w:r>
          <w:fldChar w:fldCharType="separate"/>
        </w:r>
        <w:r w:rsidR="00480369">
          <w:rPr>
            <w:noProof/>
          </w:rPr>
          <w:t>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9FE18" w14:textId="77777777" w:rsidR="00A06F0C" w:rsidRDefault="00A06F0C" w:rsidP="00AF22F5">
      <w:r>
        <w:separator/>
      </w:r>
    </w:p>
  </w:footnote>
  <w:footnote w:type="continuationSeparator" w:id="0">
    <w:p w14:paraId="24159F7F" w14:textId="77777777" w:rsidR="00A06F0C" w:rsidRDefault="00A06F0C" w:rsidP="00AF22F5">
      <w:r>
        <w:continuationSeparator/>
      </w:r>
    </w:p>
  </w:footnote>
  <w:footnote w:id="1">
    <w:p w14:paraId="7FFC1E6A" w14:textId="77777777" w:rsidR="00CB4331" w:rsidRDefault="00CB4331">
      <w:pPr>
        <w:pStyle w:val="FootnoteText"/>
      </w:pPr>
      <w:r>
        <w:rPr>
          <w:rStyle w:val="FootnoteReference"/>
        </w:rPr>
        <w:footnoteRef/>
      </w:r>
      <w:r>
        <w:t xml:space="preserve"> </w:t>
      </w:r>
      <w:r>
        <w:rPr>
          <w:noProof/>
        </w:rPr>
        <w:t>T</w:t>
      </w:r>
      <w:r w:rsidRPr="00125F21">
        <w:rPr>
          <w:noProof/>
        </w:rPr>
        <w:t>echnologies de l’</w:t>
      </w:r>
      <w:r>
        <w:rPr>
          <w:noProof/>
        </w:rPr>
        <w:t>I</w:t>
      </w:r>
      <w:r w:rsidRPr="00125F21">
        <w:rPr>
          <w:noProof/>
        </w:rPr>
        <w:t xml:space="preserve">nformation et de la </w:t>
      </w:r>
      <w:r>
        <w:rPr>
          <w:noProof/>
        </w:rPr>
        <w:t>C</w:t>
      </w:r>
      <w:r w:rsidRPr="00125F21">
        <w:rPr>
          <w:noProof/>
        </w:rPr>
        <w:t>ommunication</w:t>
      </w:r>
      <w:r>
        <w:rPr>
          <w:noProof/>
        </w:rPr>
        <w:t xml:space="preserve"> </w:t>
      </w:r>
    </w:p>
  </w:footnote>
  <w:footnote w:id="2">
    <w:p w14:paraId="7FFC1E6B" w14:textId="77777777" w:rsidR="00CB4331" w:rsidRDefault="00CB4331">
      <w:pPr>
        <w:pStyle w:val="FootnoteText"/>
      </w:pPr>
      <w:r>
        <w:rPr>
          <w:rStyle w:val="FootnoteReference"/>
        </w:rPr>
        <w:footnoteRef/>
      </w:r>
      <w:r>
        <w:t xml:space="preserve"> </w:t>
      </w:r>
      <w:r>
        <w:rPr>
          <w:noProof/>
        </w:rPr>
        <w:t>N</w:t>
      </w:r>
      <w:r w:rsidRPr="00125F21">
        <w:rPr>
          <w:noProof/>
        </w:rPr>
        <w:t>omenclature d’</w:t>
      </w:r>
      <w:r>
        <w:rPr>
          <w:noProof/>
        </w:rPr>
        <w:t>A</w:t>
      </w:r>
      <w:r w:rsidRPr="00125F21">
        <w:rPr>
          <w:noProof/>
        </w:rPr>
        <w:t xml:space="preserve">ctivités </w:t>
      </w:r>
      <w:r>
        <w:rPr>
          <w:noProof/>
        </w:rPr>
        <w:t>F</w:t>
      </w:r>
      <w:r w:rsidRPr="00125F21">
        <w:rPr>
          <w:noProof/>
        </w:rPr>
        <w:t>rançaise</w:t>
      </w:r>
      <w:r>
        <w:rPr>
          <w:noProof/>
        </w:rPr>
        <w:t xml:space="preserve"> </w:t>
      </w:r>
    </w:p>
  </w:footnote>
  <w:footnote w:id="3">
    <w:p w14:paraId="7FFC1E6C" w14:textId="77777777" w:rsidR="00CB4331" w:rsidRDefault="00CB4331">
      <w:pPr>
        <w:pStyle w:val="FootnoteText"/>
      </w:pPr>
      <w:r>
        <w:rPr>
          <w:rStyle w:val="FootnoteReference"/>
        </w:rPr>
        <w:footnoteRef/>
      </w:r>
      <w:r>
        <w:t xml:space="preserve"> Entreprise de Service du Numérique : c’est le nouveau nom des SSII (Sociétés de Service en Ingénierie Informatique). </w:t>
      </w:r>
    </w:p>
  </w:footnote>
  <w:footnote w:id="4">
    <w:p w14:paraId="7FFC1E6D" w14:textId="77777777" w:rsidR="00CB4331" w:rsidRDefault="00CB4331">
      <w:pPr>
        <w:pStyle w:val="FootnoteText"/>
      </w:pPr>
      <w:r>
        <w:rPr>
          <w:rStyle w:val="FootnoteReference"/>
        </w:rPr>
        <w:footnoteRef/>
      </w:r>
      <w:r>
        <w:t xml:space="preserve"> Direction du Système d’Information </w:t>
      </w:r>
    </w:p>
  </w:footnote>
  <w:footnote w:id="5">
    <w:p w14:paraId="7FFC1E6E" w14:textId="77777777" w:rsidR="00CB4331" w:rsidRDefault="00CB4331" w:rsidP="00681F75">
      <w:pPr>
        <w:pStyle w:val="FootnoteText"/>
      </w:pPr>
      <w:r>
        <w:rPr>
          <w:rStyle w:val="FootnoteReference"/>
        </w:rPr>
        <w:footnoteRef/>
      </w:r>
      <w:r>
        <w:t xml:space="preserve">  </w:t>
      </w:r>
      <w:r w:rsidRPr="008C4FD6">
        <w:t>Social, Mobile, Analytics, Cloud Computing, Cybersécurité</w:t>
      </w:r>
      <w:r>
        <w:t xml:space="preserve"> </w:t>
      </w:r>
    </w:p>
  </w:footnote>
  <w:footnote w:id="6">
    <w:p w14:paraId="7FFC1E6F" w14:textId="77777777" w:rsidR="00CB4331" w:rsidRDefault="00CB4331" w:rsidP="00681F75">
      <w:pPr>
        <w:pStyle w:val="FootnoteText"/>
      </w:pPr>
      <w:r>
        <w:rPr>
          <w:rStyle w:val="FootnoteReference"/>
        </w:rPr>
        <w:footnoteRef/>
      </w:r>
      <w:r>
        <w:t xml:space="preserve">  Nouveau paradigme de gestion qui permet d’améliorer la coopération entre les équipes</w:t>
      </w:r>
      <w:r w:rsidRPr="008C4FD6">
        <w:t xml:space="preserve"> du DEVeloppement et </w:t>
      </w:r>
      <w:r>
        <w:t>l</w:t>
      </w:r>
      <w:r w:rsidRPr="008C4FD6">
        <w:t xml:space="preserve">es </w:t>
      </w:r>
      <w:r>
        <w:t xml:space="preserve">équipes </w:t>
      </w:r>
      <w:r w:rsidRPr="008C4FD6">
        <w:t>OPérationS</w:t>
      </w:r>
      <w:r>
        <w:t xml:space="preserve"> </w:t>
      </w:r>
      <w:r w:rsidRPr="008C4FD6">
        <w:t xml:space="preserve">avec </w:t>
      </w:r>
      <w:r>
        <w:t>des</w:t>
      </w:r>
      <w:r w:rsidRPr="008C4FD6">
        <w:t xml:space="preserve"> méthodes autour de l’agilité</w:t>
      </w:r>
      <w:r>
        <w:t xml:space="preserve">. </w:t>
      </w:r>
    </w:p>
  </w:footnote>
  <w:footnote w:id="7">
    <w:p w14:paraId="7FFC1E70" w14:textId="77777777" w:rsidR="00CB4331" w:rsidRDefault="00CB4331" w:rsidP="00681F75">
      <w:pPr>
        <w:pStyle w:val="FootnoteText"/>
      </w:pPr>
      <w:r>
        <w:rPr>
          <w:rStyle w:val="FootnoteReference"/>
        </w:rPr>
        <w:footnoteRef/>
      </w:r>
      <w:r>
        <w:t xml:space="preserve">  Taille Minimale Optimale. </w:t>
      </w:r>
    </w:p>
  </w:footnote>
  <w:footnote w:id="8">
    <w:p w14:paraId="7FFC1E71" w14:textId="77777777" w:rsidR="00CB4331" w:rsidRDefault="00CB4331">
      <w:pPr>
        <w:pStyle w:val="FootnoteText"/>
      </w:pPr>
      <w:r>
        <w:rPr>
          <w:rStyle w:val="FootnoteReference"/>
        </w:rPr>
        <w:footnoteRef/>
      </w:r>
      <w:r>
        <w:t xml:space="preserve"> Nous avons fait ce calcul en se basant sur les données Diane </w:t>
      </w:r>
    </w:p>
  </w:footnote>
  <w:footnote w:id="9">
    <w:p w14:paraId="7FFC1E72" w14:textId="77777777" w:rsidR="00CB4331" w:rsidRDefault="00CB4331" w:rsidP="00B21D74">
      <w:pPr>
        <w:pStyle w:val="FootnoteText"/>
      </w:pPr>
      <w:r>
        <w:rPr>
          <w:rStyle w:val="FootnoteReference"/>
        </w:rPr>
        <w:footnoteRef/>
      </w:r>
      <w:r>
        <w:t xml:space="preserve"> Les Coefficient de concentration C4, C20 et C100 sont les parts de marchés cumulés des 4 ou 20 ou 100 premières entreprises respectivement. </w:t>
      </w:r>
    </w:p>
  </w:footnote>
  <w:footnote w:id="10">
    <w:p w14:paraId="7FFC1E73" w14:textId="77777777" w:rsidR="00CB4331" w:rsidRDefault="00CB4331" w:rsidP="00481344">
      <w:pPr>
        <w:pStyle w:val="FootnoteText"/>
      </w:pPr>
      <w:r>
        <w:rPr>
          <w:rStyle w:val="FootnoteReference"/>
        </w:rPr>
        <w:footnoteRef/>
      </w:r>
      <w:r>
        <w:t xml:space="preserve"> Indice de concentration d’H</w:t>
      </w:r>
      <w:r w:rsidRPr="00B21D74">
        <w:t>erfindahl-</w:t>
      </w:r>
      <w:r>
        <w:t>H</w:t>
      </w:r>
      <w:r w:rsidRPr="00B21D74">
        <w:t>irschman</w:t>
      </w:r>
      <w:r>
        <w:t xml:space="preserve"> </w:t>
      </w:r>
    </w:p>
  </w:footnote>
  <w:footnote w:id="11">
    <w:p w14:paraId="7FFC1E74" w14:textId="77777777" w:rsidR="00CB4331" w:rsidRDefault="00CB4331">
      <w:pPr>
        <w:pStyle w:val="FootnoteText"/>
      </w:pPr>
      <w:r>
        <w:rPr>
          <w:rStyle w:val="FootnoteReference"/>
        </w:rPr>
        <w:footnoteRef/>
      </w:r>
      <w:r>
        <w:t xml:space="preserve"> </w:t>
      </w:r>
      <w:r w:rsidRPr="00D722A9">
        <w:t>Nomenclature d'Activités Française</w:t>
      </w:r>
      <w:r>
        <w:t xml:space="preserve"> </w:t>
      </w:r>
    </w:p>
  </w:footnote>
  <w:footnote w:id="12">
    <w:p w14:paraId="7FFC1E75" w14:textId="77777777" w:rsidR="00CB4331" w:rsidRDefault="00CB4331">
      <w:pPr>
        <w:pStyle w:val="FootnoteText"/>
      </w:pPr>
      <w:r>
        <w:rPr>
          <w:rStyle w:val="FootnoteReference"/>
        </w:rPr>
        <w:footnoteRef/>
      </w:r>
      <w:r>
        <w:t xml:space="preserve"> </w:t>
      </w:r>
      <w:r w:rsidRPr="00EA1D0D">
        <w:t xml:space="preserve">Classification des </w:t>
      </w:r>
      <w:r>
        <w:t>P</w:t>
      </w:r>
      <w:r w:rsidRPr="00EA1D0D">
        <w:t xml:space="preserve">roduits </w:t>
      </w:r>
      <w:r>
        <w:t>F</w:t>
      </w:r>
      <w:r w:rsidRPr="00EA1D0D">
        <w:t>rançaise</w:t>
      </w:r>
      <w:r>
        <w:t xml:space="preserve"> </w:t>
      </w:r>
    </w:p>
  </w:footnote>
  <w:footnote w:id="13">
    <w:p w14:paraId="7FFC1E76" w14:textId="77777777" w:rsidR="00CB4331" w:rsidRDefault="00CB4331">
      <w:pPr>
        <w:pStyle w:val="FootnoteText"/>
      </w:pPr>
      <w:r>
        <w:rPr>
          <w:rStyle w:val="FootnoteReference"/>
        </w:rPr>
        <w:footnoteRef/>
      </w:r>
      <w:r>
        <w:t xml:space="preserve"> Le taux d’exportation n’est pas très important dans ce secteur car le conseil nécessite généralement une proximité avec le client. </w:t>
      </w:r>
    </w:p>
  </w:footnote>
  <w:footnote w:id="14">
    <w:p w14:paraId="7FFC1E77" w14:textId="77777777" w:rsidR="00CB4331" w:rsidRDefault="00CB4331">
      <w:pPr>
        <w:pStyle w:val="FootnoteText"/>
      </w:pPr>
      <w:r>
        <w:rPr>
          <w:rStyle w:val="FootnoteReference"/>
        </w:rPr>
        <w:footnoteRef/>
      </w:r>
      <w:r>
        <w:t xml:space="preserve"> En se basant sur la méthode </w:t>
      </w:r>
      <w:r w:rsidRPr="002828B7">
        <w:t>Weiss</w:t>
      </w:r>
      <w:r>
        <w:t xml:space="preserve"> qui consiste à approcher la TMO (Taille Minimale Optimale) par la </w:t>
      </w:r>
      <w:r w:rsidRPr="002828B7">
        <w:t>dimension de l'établissement produisant le 50</w:t>
      </w:r>
      <w:r w:rsidRPr="002828B7">
        <w:rPr>
          <w:vertAlign w:val="superscript"/>
        </w:rPr>
        <w:t>ème</w:t>
      </w:r>
      <w:r>
        <w:t xml:space="preserve"> </w:t>
      </w:r>
      <w:r w:rsidRPr="002828B7">
        <w:t>% de la production de la branche</w:t>
      </w:r>
      <w:r>
        <w:t xml:space="preserve">. </w:t>
      </w:r>
    </w:p>
  </w:footnote>
  <w:footnote w:id="15">
    <w:p w14:paraId="7FFC1E78" w14:textId="77777777" w:rsidR="00CB4331" w:rsidRDefault="00CB4331" w:rsidP="000D3DE1">
      <w:pPr>
        <w:pStyle w:val="FootnoteText"/>
      </w:pPr>
      <w:r>
        <w:rPr>
          <w:rStyle w:val="FootnoteReference"/>
        </w:rPr>
        <w:footnoteRef/>
      </w:r>
      <w:r>
        <w:t xml:space="preserve"> AP Management est un cabinet de conseil M&amp;A spécialisé dans le secteur IT. </w:t>
      </w:r>
    </w:p>
  </w:footnote>
  <w:footnote w:id="16">
    <w:p w14:paraId="7FFC1E79" w14:textId="77777777" w:rsidR="00CB4331" w:rsidRDefault="00CB4331" w:rsidP="00044BCC">
      <w:pPr>
        <w:pStyle w:val="FootnoteText"/>
      </w:pPr>
      <w:r>
        <w:rPr>
          <w:rStyle w:val="FootnoteReference"/>
        </w:rPr>
        <w:footnoteRef/>
      </w:r>
      <w:r>
        <w:t xml:space="preserve"> Direction générale de la compétitivité de l’industrie et des services.  </w:t>
      </w:r>
    </w:p>
  </w:footnote>
  <w:footnote w:id="17">
    <w:p w14:paraId="7FFC1E7A" w14:textId="77777777" w:rsidR="00CB4331" w:rsidRDefault="00CB4331" w:rsidP="00044BCC">
      <w:pPr>
        <w:pStyle w:val="FootnoteText"/>
      </w:pPr>
      <w:r>
        <w:rPr>
          <w:rStyle w:val="FootnoteReference"/>
        </w:rPr>
        <w:footnoteRef/>
      </w:r>
      <w:r>
        <w:t xml:space="preserve"> Fond Unique Interministériel qui finance les projets labellisés par les pôles de compétitivité. </w:t>
      </w:r>
    </w:p>
  </w:footnote>
  <w:footnote w:id="18">
    <w:p w14:paraId="7FFC1E7B" w14:textId="77777777" w:rsidR="00CB4331" w:rsidRDefault="00CB4331">
      <w:pPr>
        <w:pStyle w:val="FootnoteText"/>
      </w:pPr>
      <w:r>
        <w:rPr>
          <w:rStyle w:val="FootnoteReference"/>
        </w:rPr>
        <w:footnoteRef/>
      </w:r>
      <w:r>
        <w:t xml:space="preserve"> Service Level Agreement </w:t>
      </w:r>
    </w:p>
  </w:footnote>
  <w:footnote w:id="19">
    <w:p w14:paraId="7FFC1E7C" w14:textId="77777777" w:rsidR="00CB4331" w:rsidRDefault="00CB4331" w:rsidP="00814432">
      <w:pPr>
        <w:pStyle w:val="FootnoteText"/>
      </w:pPr>
      <w:r>
        <w:rPr>
          <w:rStyle w:val="FootnoteReference"/>
        </w:rPr>
        <w:footnoteRef/>
      </w:r>
      <w:r>
        <w:t xml:space="preserve"> </w:t>
      </w:r>
      <w:r w:rsidRPr="00814432">
        <w:t xml:space="preserve">La digitalisation signifie ici la mise en place d'une plateforme numérique, c'est à dire un site internet, qui a pour fonction de gérer la relation entre l'entreprise et ses clients d'une part et </w:t>
      </w:r>
      <w:r>
        <w:t xml:space="preserve">accessoirement </w:t>
      </w:r>
      <w:r w:rsidRPr="00814432">
        <w:t xml:space="preserve">entre l'entreprise et ses fournisseurs d'autre part. </w:t>
      </w:r>
    </w:p>
  </w:footnote>
  <w:footnote w:id="20">
    <w:p w14:paraId="7FFC1E7D" w14:textId="77777777" w:rsidR="00CB4331" w:rsidRDefault="00CB4331">
      <w:pPr>
        <w:pStyle w:val="FootnoteText"/>
      </w:pPr>
      <w:r>
        <w:rPr>
          <w:rStyle w:val="FootnoteReference"/>
        </w:rPr>
        <w:footnoteRef/>
      </w:r>
      <w:r>
        <w:t xml:space="preserve"> </w:t>
      </w:r>
      <w:r w:rsidRPr="00F10C46">
        <w:t>L'ubérisation signifie ici l'arrivée d'une startup qui se positionne sur une partie de la chaine de valeur d'entreprises existantes. Cette startup offre menace les entreprises existantes en offrant le même service via une plateforme numérique. Si la startup offre le même service mais avec un nouveau business model alors la men</w:t>
      </w:r>
      <w:r>
        <w:t>a</w:t>
      </w:r>
      <w:r w:rsidRPr="00F10C46">
        <w:t>ce est encore plus importante.</w:t>
      </w:r>
    </w:p>
  </w:footnote>
  <w:footnote w:id="21">
    <w:p w14:paraId="7FFC1E7E" w14:textId="77777777" w:rsidR="00CB4331" w:rsidRDefault="00CB4331" w:rsidP="00814432">
      <w:pPr>
        <w:pStyle w:val="FootnoteText"/>
      </w:pPr>
      <w:r>
        <w:rPr>
          <w:rStyle w:val="FootnoteReference"/>
        </w:rPr>
        <w:footnoteRef/>
      </w:r>
      <w:r>
        <w:t xml:space="preserve"> Ces services peuvent être payants ou gratuites ou incluses dans les frais des transactions.  </w:t>
      </w:r>
    </w:p>
  </w:footnote>
  <w:footnote w:id="22">
    <w:p w14:paraId="7FFC1E7F" w14:textId="77777777" w:rsidR="00CB4331" w:rsidRDefault="00CB4331" w:rsidP="00F97F39">
      <w:pPr>
        <w:pStyle w:val="FootnoteText"/>
      </w:pPr>
      <w:r>
        <w:rPr>
          <w:rStyle w:val="FootnoteReference"/>
        </w:rPr>
        <w:footnoteRef/>
      </w:r>
      <w:r>
        <w:t xml:space="preserve"> Les MOOC (Massive Open Online Course) ou FLOT en français (</w:t>
      </w:r>
      <w:r w:rsidRPr="00F97F39">
        <w:t>Formation en ligne ouverte à tous</w:t>
      </w:r>
      <w:r>
        <w:t xml:space="preserve">), peuvent être préparés par des consultants experts et séniors pour des consultants moins jeunes. Ce qui constituera un revenu supplémentaire pour ces experts à travers la plateforme. </w:t>
      </w:r>
    </w:p>
  </w:footnote>
  <w:footnote w:id="23">
    <w:p w14:paraId="7FFC1E80" w14:textId="77777777" w:rsidR="00CB4331" w:rsidRDefault="00CB4331" w:rsidP="00814432">
      <w:pPr>
        <w:pStyle w:val="FootnoteText"/>
      </w:pPr>
      <w:r>
        <w:rPr>
          <w:rStyle w:val="FootnoteReference"/>
        </w:rPr>
        <w:footnoteRef/>
      </w:r>
      <w:r>
        <w:t xml:space="preserve"> Par exemple un CRM et un système de comptabilité et de gestion pour les consultants indépendants. </w:t>
      </w:r>
    </w:p>
  </w:footnote>
  <w:footnote w:id="24">
    <w:p w14:paraId="7FFC1E81" w14:textId="77777777" w:rsidR="00CB4331" w:rsidRDefault="00CB4331" w:rsidP="00814432">
      <w:pPr>
        <w:pStyle w:val="FootnoteText"/>
      </w:pPr>
      <w:r>
        <w:rPr>
          <w:rStyle w:val="FootnoteReference"/>
        </w:rPr>
        <w:footnoteRef/>
      </w:r>
      <w:r>
        <w:t xml:space="preserve"> Ou bien d’autres acteurs comme les sites de freelance. </w:t>
      </w:r>
    </w:p>
  </w:footnote>
  <w:footnote w:id="25">
    <w:p w14:paraId="7FFC1E82" w14:textId="77777777" w:rsidR="00CB4331" w:rsidRDefault="00CB4331" w:rsidP="001064EE">
      <w:pPr>
        <w:pStyle w:val="FootnoteText"/>
      </w:pPr>
      <w:r>
        <w:rPr>
          <w:rStyle w:val="FootnoteReference"/>
        </w:rPr>
        <w:footnoteRef/>
      </w:r>
      <w:r>
        <w:t xml:space="preserve"> La « Business Stratégy » s’intéresse à l’activité du secteur (de la branche en toute rigueur) et la « Corporate Strategy » s’intéresse aux portefeuille d’activités dans plusieurs secteurs et de la synergie qui peut en résulter. </w:t>
      </w:r>
    </w:p>
  </w:footnote>
  <w:footnote w:id="26">
    <w:p w14:paraId="7FFC1E83" w14:textId="77777777" w:rsidR="00CB4331" w:rsidRPr="00F40326" w:rsidRDefault="00CB4331" w:rsidP="001064EE">
      <w:pPr>
        <w:pStyle w:val="FootnoteText"/>
      </w:pPr>
      <w:r>
        <w:rPr>
          <w:rStyle w:val="FootnoteReference"/>
        </w:rPr>
        <w:footnoteRef/>
      </w:r>
      <w:r w:rsidRPr="00F40326">
        <w:t xml:space="preserve"> D’ailleurs nous n’avons pas ou très peu </w:t>
      </w:r>
      <w:r>
        <w:t xml:space="preserve">d’informations sur ces très petites entreprises.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884" w:type="dxa"/>
      <w:tblLayout w:type="fixed"/>
      <w:tblCellMar>
        <w:left w:w="0" w:type="dxa"/>
        <w:right w:w="0" w:type="dxa"/>
      </w:tblCellMar>
      <w:tblLook w:val="0000" w:firstRow="0" w:lastRow="0" w:firstColumn="0" w:lastColumn="0" w:noHBand="0" w:noVBand="0"/>
    </w:tblPr>
    <w:tblGrid>
      <w:gridCol w:w="20"/>
      <w:gridCol w:w="14722"/>
      <w:gridCol w:w="142"/>
    </w:tblGrid>
    <w:tr w:rsidR="00CB4331" w:rsidRPr="00005D16" w14:paraId="7FFC1E61" w14:textId="77777777" w:rsidTr="00857EF7">
      <w:trPr>
        <w:cantSplit/>
        <w:trHeight w:val="154"/>
      </w:trPr>
      <w:tc>
        <w:tcPr>
          <w:tcW w:w="20" w:type="dxa"/>
          <w:shd w:val="clear" w:color="auto" w:fill="auto"/>
          <w:vAlign w:val="center"/>
        </w:tcPr>
        <w:p w14:paraId="7FFC1E5E" w14:textId="6FDD0F36" w:rsidR="00CB4331" w:rsidRPr="00160060" w:rsidRDefault="00CB4331" w:rsidP="00AF22F5">
          <w:pPr>
            <w:rPr>
              <w:rFonts w:cs="Tahoma"/>
            </w:rPr>
          </w:pPr>
          <w:r>
            <w:rPr>
              <w:noProof/>
            </w:rPr>
            <mc:AlternateContent>
              <mc:Choice Requires="wps">
                <w:drawing>
                  <wp:anchor distT="0" distB="0" distL="114300" distR="114300" simplePos="0" relativeHeight="251658752" behindDoc="1" locked="0" layoutInCell="1" allowOverlap="1" wp14:anchorId="7FFC1E65" wp14:editId="7F7613A8">
                    <wp:simplePos x="0" y="0"/>
                    <wp:positionH relativeFrom="column">
                      <wp:posOffset>-325120</wp:posOffset>
                    </wp:positionH>
                    <wp:positionV relativeFrom="paragraph">
                      <wp:posOffset>-4187825</wp:posOffset>
                    </wp:positionV>
                    <wp:extent cx="228600" cy="145161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516100"/>
                            </a:xfrm>
                            <a:prstGeom prst="rect">
                              <a:avLst/>
                            </a:prstGeom>
                            <a:gradFill rotWithShape="1">
                              <a:gsLst>
                                <a:gs pos="0">
                                  <a:srgbClr val="FFFFFF"/>
                                </a:gs>
                                <a:gs pos="100000">
                                  <a:srgbClr val="FFCC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F5949" id="Rectangle 2" o:spid="_x0000_s1026" style="position:absolute;margin-left:-25.6pt;margin-top:-329.75pt;width:18pt;height:11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" stroked="f">
                    <v:fill color2="#fc0" rotate="t" focus="100%" type="gradient"/>
                  </v:rect>
                </w:pict>
              </mc:Fallback>
            </mc:AlternateContent>
          </w:r>
        </w:p>
      </w:tc>
      <w:tc>
        <w:tcPr>
          <w:tcW w:w="14722" w:type="dxa"/>
          <w:vAlign w:val="center"/>
        </w:tcPr>
        <w:p w14:paraId="7FFC1E5F" w14:textId="73EAEFF2" w:rsidR="00CB4331" w:rsidRPr="00FA5187" w:rsidRDefault="00CB4331" w:rsidP="00803407">
          <w:pPr>
            <w:pStyle w:val="Heading9"/>
          </w:pPr>
          <w:fldSimple w:instr=" DOCPROPERTY  Client  \* MERGEFORMAT ">
            <w:r>
              <w:t>CNAM et Université Paris Diderot</w:t>
            </w:r>
          </w:fldSimple>
          <w:r w:rsidRPr="00241E1F">
            <w:t xml:space="preserve"> - </w:t>
          </w:r>
          <w:fldSimple w:instr=" DOCPROPERTY  Destination  \* MERGEFORMAT ">
            <w:r>
              <w:t>EPT204</w:t>
            </w:r>
          </w:fldSimple>
          <w:r>
            <w:t xml:space="preserve"> – Stratégie de recherche d’information - Analyse sectorielle –</w:t>
          </w:r>
          <w:r>
            <w:rPr>
              <w:noProof/>
            </w:rPr>
            <w:t xml:space="preserve"> juillet 2016                                    Secteur 6202A - C</w:t>
          </w:r>
          <w:r w:rsidRPr="00857EF7">
            <w:rPr>
              <w:noProof/>
            </w:rPr>
            <w:t>onseil en systèmes et logiciels Informatiques</w:t>
          </w:r>
        </w:p>
      </w:tc>
      <w:tc>
        <w:tcPr>
          <w:tcW w:w="142" w:type="dxa"/>
          <w:vAlign w:val="center"/>
        </w:tcPr>
        <w:p w14:paraId="7FFC1E60" w14:textId="77777777" w:rsidR="00CB4331" w:rsidRPr="00B8400E" w:rsidRDefault="00CB4331" w:rsidP="00857EF7"/>
      </w:tc>
    </w:tr>
  </w:tbl>
  <w:p w14:paraId="7FFC1E62" w14:textId="77777777" w:rsidR="00CB4331" w:rsidRDefault="00CB4331" w:rsidP="008E474D">
    <w:pP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1E64" w14:textId="77777777" w:rsidR="00CB4331" w:rsidRDefault="00CB4331">
    <w:pPr>
      <w:pStyle w:val="Header"/>
    </w:pPr>
    <w:r w:rsidRPr="00E05D21">
      <w:rPr>
        <w:noProof/>
      </w:rPr>
      <w:drawing>
        <wp:anchor distT="0" distB="0" distL="114300" distR="114300" simplePos="0" relativeHeight="251657728" behindDoc="0" locked="0" layoutInCell="1" allowOverlap="1" wp14:anchorId="7FFC1E66" wp14:editId="7FFC1E67">
          <wp:simplePos x="0" y="0"/>
          <wp:positionH relativeFrom="column">
            <wp:posOffset>-3810</wp:posOffset>
          </wp:positionH>
          <wp:positionV relativeFrom="paragraph">
            <wp:posOffset>-118110</wp:posOffset>
          </wp:positionV>
          <wp:extent cx="1775460" cy="716280"/>
          <wp:effectExtent l="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of_Paris_Diderot_Univers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2285" cy="717550"/>
                  </a:xfrm>
                  <a:prstGeom prst="rect">
                    <a:avLst/>
                  </a:prstGeom>
                </pic:spPr>
              </pic:pic>
            </a:graphicData>
          </a:graphic>
        </wp:anchor>
      </w:drawing>
    </w:r>
    <w:r>
      <w:rPr>
        <w:noProof/>
      </w:rPr>
      <w:drawing>
        <wp:anchor distT="0" distB="0" distL="114300" distR="114300" simplePos="0" relativeHeight="251656704" behindDoc="0" locked="0" layoutInCell="1" allowOverlap="1" wp14:anchorId="7FFC1E68" wp14:editId="7FFC1E69">
          <wp:simplePos x="0" y="0"/>
          <wp:positionH relativeFrom="column">
            <wp:posOffset>6899910</wp:posOffset>
          </wp:positionH>
          <wp:positionV relativeFrom="paragraph">
            <wp:posOffset>-165735</wp:posOffset>
          </wp:positionV>
          <wp:extent cx="2933700" cy="752475"/>
          <wp:effectExtent l="19050" t="0" r="0" b="0"/>
          <wp:wrapSquare wrapText="bothSides"/>
          <wp:docPr id="93" name="Picture 93" descr="Logo_c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n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3700" cy="752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0A00"/>
    <w:multiLevelType w:val="hybridMultilevel"/>
    <w:tmpl w:val="9E8E27C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 w15:restartNumberingAfterBreak="0">
    <w:nsid w:val="0337115C"/>
    <w:multiLevelType w:val="multilevel"/>
    <w:tmpl w:val="5E8EFBC8"/>
    <w:styleLink w:val="ListePuces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D4CDD"/>
    <w:multiLevelType w:val="hybridMultilevel"/>
    <w:tmpl w:val="9864A916"/>
    <w:lvl w:ilvl="0" w:tplc="B1B04E7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084C076F"/>
    <w:multiLevelType w:val="multilevel"/>
    <w:tmpl w:val="425066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fr-FR"/>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8BD69AF"/>
    <w:multiLevelType w:val="hybridMultilevel"/>
    <w:tmpl w:val="FA58BCF8"/>
    <w:lvl w:ilvl="0" w:tplc="37263992">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3805CBE"/>
    <w:multiLevelType w:val="hybridMultilevel"/>
    <w:tmpl w:val="67AA78C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6" w15:restartNumberingAfterBreak="0">
    <w:nsid w:val="139C002E"/>
    <w:multiLevelType w:val="hybridMultilevel"/>
    <w:tmpl w:val="49DCF312"/>
    <w:lvl w:ilvl="0" w:tplc="0BC867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6803C2"/>
    <w:multiLevelType w:val="hybridMultilevel"/>
    <w:tmpl w:val="9FF87FC6"/>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2D0D7E7D"/>
    <w:multiLevelType w:val="hybridMultilevel"/>
    <w:tmpl w:val="8BF82F58"/>
    <w:lvl w:ilvl="0" w:tplc="D7E063F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15:restartNumberingAfterBreak="0">
    <w:nsid w:val="2E1E789E"/>
    <w:multiLevelType w:val="hybridMultilevel"/>
    <w:tmpl w:val="4F4215AE"/>
    <w:lvl w:ilvl="0" w:tplc="082AB75C">
      <w:start w:val="1"/>
      <w:numFmt w:val="bullet"/>
      <w:lvlText w:val=""/>
      <w:lvlJc w:val="left"/>
      <w:pPr>
        <w:ind w:left="720" w:hanging="360"/>
      </w:pPr>
      <w:rPr>
        <w:rFonts w:ascii="Symbol" w:hAnsi="Symbol" w:hint="default"/>
      </w:rPr>
    </w:lvl>
    <w:lvl w:ilvl="1" w:tplc="D6F65396">
      <w:start w:val="1"/>
      <w:numFmt w:val="bullet"/>
      <w:lvlText w:val="o"/>
      <w:lvlJc w:val="left"/>
      <w:pPr>
        <w:ind w:left="1440" w:hanging="360"/>
      </w:pPr>
      <w:rPr>
        <w:rFonts w:ascii="Courier New" w:hAnsi="Courier New" w:hint="default"/>
      </w:rPr>
    </w:lvl>
    <w:lvl w:ilvl="2" w:tplc="17965620">
      <w:start w:val="1"/>
      <w:numFmt w:val="bullet"/>
      <w:lvlText w:val=""/>
      <w:lvlJc w:val="left"/>
      <w:pPr>
        <w:ind w:left="2160" w:hanging="360"/>
      </w:pPr>
      <w:rPr>
        <w:rFonts w:ascii="Wingdings" w:hAnsi="Wingdings" w:hint="default"/>
      </w:rPr>
    </w:lvl>
    <w:lvl w:ilvl="3" w:tplc="90EE89FE">
      <w:start w:val="1"/>
      <w:numFmt w:val="bullet"/>
      <w:lvlText w:val=""/>
      <w:lvlJc w:val="left"/>
      <w:pPr>
        <w:ind w:left="2880" w:hanging="360"/>
      </w:pPr>
      <w:rPr>
        <w:rFonts w:ascii="Symbol" w:hAnsi="Symbol" w:hint="default"/>
      </w:rPr>
    </w:lvl>
    <w:lvl w:ilvl="4" w:tplc="6032FCB2">
      <w:start w:val="1"/>
      <w:numFmt w:val="bullet"/>
      <w:lvlText w:val="o"/>
      <w:lvlJc w:val="left"/>
      <w:pPr>
        <w:ind w:left="3600" w:hanging="360"/>
      </w:pPr>
      <w:rPr>
        <w:rFonts w:ascii="Courier New" w:hAnsi="Courier New" w:hint="default"/>
      </w:rPr>
    </w:lvl>
    <w:lvl w:ilvl="5" w:tplc="D8D05DD4">
      <w:start w:val="1"/>
      <w:numFmt w:val="bullet"/>
      <w:lvlText w:val=""/>
      <w:lvlJc w:val="left"/>
      <w:pPr>
        <w:ind w:left="4320" w:hanging="360"/>
      </w:pPr>
      <w:rPr>
        <w:rFonts w:ascii="Wingdings" w:hAnsi="Wingdings" w:hint="default"/>
      </w:rPr>
    </w:lvl>
    <w:lvl w:ilvl="6" w:tplc="0F441418">
      <w:start w:val="1"/>
      <w:numFmt w:val="bullet"/>
      <w:lvlText w:val=""/>
      <w:lvlJc w:val="left"/>
      <w:pPr>
        <w:ind w:left="5040" w:hanging="360"/>
      </w:pPr>
      <w:rPr>
        <w:rFonts w:ascii="Symbol" w:hAnsi="Symbol" w:hint="default"/>
      </w:rPr>
    </w:lvl>
    <w:lvl w:ilvl="7" w:tplc="5BE604FC">
      <w:start w:val="1"/>
      <w:numFmt w:val="bullet"/>
      <w:lvlText w:val="o"/>
      <w:lvlJc w:val="left"/>
      <w:pPr>
        <w:ind w:left="5760" w:hanging="360"/>
      </w:pPr>
      <w:rPr>
        <w:rFonts w:ascii="Courier New" w:hAnsi="Courier New" w:hint="default"/>
      </w:rPr>
    </w:lvl>
    <w:lvl w:ilvl="8" w:tplc="A9246A6A">
      <w:start w:val="1"/>
      <w:numFmt w:val="bullet"/>
      <w:lvlText w:val=""/>
      <w:lvlJc w:val="left"/>
      <w:pPr>
        <w:ind w:left="6480" w:hanging="360"/>
      </w:pPr>
      <w:rPr>
        <w:rFonts w:ascii="Wingdings" w:hAnsi="Wingdings" w:hint="default"/>
      </w:rPr>
    </w:lvl>
  </w:abstractNum>
  <w:abstractNum w:abstractNumId="10" w15:restartNumberingAfterBreak="0">
    <w:nsid w:val="2E7D2E09"/>
    <w:multiLevelType w:val="hybridMultilevel"/>
    <w:tmpl w:val="B3928B4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31553562"/>
    <w:multiLevelType w:val="hybridMultilevel"/>
    <w:tmpl w:val="3930494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32D25953"/>
    <w:multiLevelType w:val="multilevel"/>
    <w:tmpl w:val="DFEA9716"/>
    <w:styleLink w:val="ListePuces2"/>
    <w:lvl w:ilvl="0">
      <w:start w:val="1"/>
      <w:numFmt w:val="bullet"/>
      <w:lvlText w:val=""/>
      <w:lvlJc w:val="left"/>
      <w:pPr>
        <w:tabs>
          <w:tab w:val="num" w:pos="2138"/>
        </w:tabs>
        <w:ind w:left="2138" w:hanging="360"/>
      </w:pPr>
      <w:rPr>
        <w:rFonts w:ascii="Wingdings" w:hAnsi="Wingdings"/>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3" w15:restartNumberingAfterBreak="0">
    <w:nsid w:val="3ADB10A6"/>
    <w:multiLevelType w:val="hybridMultilevel"/>
    <w:tmpl w:val="A828989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4" w15:restartNumberingAfterBreak="0">
    <w:nsid w:val="3D1107F8"/>
    <w:multiLevelType w:val="hybridMultilevel"/>
    <w:tmpl w:val="E0AE063A"/>
    <w:lvl w:ilvl="0" w:tplc="0BC867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E16A08"/>
    <w:multiLevelType w:val="hybridMultilevel"/>
    <w:tmpl w:val="F1F4B7EC"/>
    <w:lvl w:ilvl="0" w:tplc="0BC86750">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344513"/>
    <w:multiLevelType w:val="hybridMultilevel"/>
    <w:tmpl w:val="7D0CD1A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44A47D20"/>
    <w:multiLevelType w:val="hybridMultilevel"/>
    <w:tmpl w:val="2CC00B7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8" w15:restartNumberingAfterBreak="0">
    <w:nsid w:val="49C847FA"/>
    <w:multiLevelType w:val="singleLevel"/>
    <w:tmpl w:val="84D2D5B0"/>
    <w:lvl w:ilvl="0">
      <w:start w:val="1"/>
      <w:numFmt w:val="bullet"/>
      <w:pStyle w:val="NormalIndent"/>
      <w:lvlText w:val=""/>
      <w:lvlJc w:val="left"/>
      <w:pPr>
        <w:tabs>
          <w:tab w:val="num" w:pos="360"/>
        </w:tabs>
        <w:ind w:left="360" w:hanging="360"/>
      </w:pPr>
      <w:rPr>
        <w:rFonts w:ascii="Symbol" w:hAnsi="Symbol" w:cs="Times New Roman" w:hint="default"/>
      </w:rPr>
    </w:lvl>
  </w:abstractNum>
  <w:abstractNum w:abstractNumId="19" w15:restartNumberingAfterBreak="0">
    <w:nsid w:val="4E747793"/>
    <w:multiLevelType w:val="hybridMultilevel"/>
    <w:tmpl w:val="83E8D0B8"/>
    <w:lvl w:ilvl="0" w:tplc="7D548688">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15:restartNumberingAfterBreak="0">
    <w:nsid w:val="50657F87"/>
    <w:multiLevelType w:val="hybridMultilevel"/>
    <w:tmpl w:val="550AF314"/>
    <w:lvl w:ilvl="0" w:tplc="0BC867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230CA8"/>
    <w:multiLevelType w:val="hybridMultilevel"/>
    <w:tmpl w:val="757EEE3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15:restartNumberingAfterBreak="0">
    <w:nsid w:val="5E65050B"/>
    <w:multiLevelType w:val="hybridMultilevel"/>
    <w:tmpl w:val="472CDA4E"/>
    <w:lvl w:ilvl="0" w:tplc="18780662">
      <w:start w:val="6201"/>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15:restartNumberingAfterBreak="0">
    <w:nsid w:val="5F075A93"/>
    <w:multiLevelType w:val="hybridMultilevel"/>
    <w:tmpl w:val="5F548968"/>
    <w:lvl w:ilvl="0" w:tplc="FBE2ACA2">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63D10DA0"/>
    <w:multiLevelType w:val="hybridMultilevel"/>
    <w:tmpl w:val="17D8FA52"/>
    <w:lvl w:ilvl="0" w:tplc="182811D2">
      <w:numFmt w:val="bullet"/>
      <w:lvlText w:val=""/>
      <w:lvlJc w:val="left"/>
      <w:pPr>
        <w:ind w:left="502" w:hanging="360"/>
      </w:pPr>
      <w:rPr>
        <w:rFonts w:ascii="Symbol" w:eastAsia="Times New Roman" w:hAnsi="Symbo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15:restartNumberingAfterBreak="0">
    <w:nsid w:val="65970C5B"/>
    <w:multiLevelType w:val="hybridMultilevel"/>
    <w:tmpl w:val="804E8FB4"/>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26" w15:restartNumberingAfterBreak="0">
    <w:nsid w:val="669066C1"/>
    <w:multiLevelType w:val="hybridMultilevel"/>
    <w:tmpl w:val="786AE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F5074F"/>
    <w:multiLevelType w:val="hybridMultilevel"/>
    <w:tmpl w:val="3232FFAC"/>
    <w:lvl w:ilvl="0" w:tplc="040C000B">
      <w:start w:val="1"/>
      <w:numFmt w:val="bullet"/>
      <w:lvlText w:val=""/>
      <w:lvlJc w:val="left"/>
      <w:pPr>
        <w:ind w:left="933" w:hanging="360"/>
      </w:pPr>
      <w:rPr>
        <w:rFonts w:ascii="Wingdings" w:hAnsi="Wingdings"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28" w15:restartNumberingAfterBreak="0">
    <w:nsid w:val="6CF71C4D"/>
    <w:multiLevelType w:val="hybridMultilevel"/>
    <w:tmpl w:val="68785208"/>
    <w:lvl w:ilvl="0" w:tplc="64EC4F9C">
      <w:start w:val="1"/>
      <w:numFmt w:val="bullet"/>
      <w:lvlText w:val="-"/>
      <w:lvlJc w:val="left"/>
      <w:pPr>
        <w:ind w:left="573" w:hanging="360"/>
      </w:pPr>
      <w:rPr>
        <w:rFonts w:ascii="Arial" w:eastAsia="Times New Roman" w:hAnsi="Arial" w:cs="Arial" w:hint="default"/>
      </w:rPr>
    </w:lvl>
    <w:lvl w:ilvl="1" w:tplc="040C0003" w:tentative="1">
      <w:start w:val="1"/>
      <w:numFmt w:val="bullet"/>
      <w:lvlText w:val="o"/>
      <w:lvlJc w:val="left"/>
      <w:pPr>
        <w:ind w:left="1293" w:hanging="360"/>
      </w:pPr>
      <w:rPr>
        <w:rFonts w:ascii="Courier New" w:hAnsi="Courier New" w:cs="Courier New" w:hint="default"/>
      </w:rPr>
    </w:lvl>
    <w:lvl w:ilvl="2" w:tplc="040C0005" w:tentative="1">
      <w:start w:val="1"/>
      <w:numFmt w:val="bullet"/>
      <w:lvlText w:val=""/>
      <w:lvlJc w:val="left"/>
      <w:pPr>
        <w:ind w:left="2013" w:hanging="360"/>
      </w:pPr>
      <w:rPr>
        <w:rFonts w:ascii="Wingdings" w:hAnsi="Wingdings" w:hint="default"/>
      </w:rPr>
    </w:lvl>
    <w:lvl w:ilvl="3" w:tplc="040C0001" w:tentative="1">
      <w:start w:val="1"/>
      <w:numFmt w:val="bullet"/>
      <w:lvlText w:val=""/>
      <w:lvlJc w:val="left"/>
      <w:pPr>
        <w:ind w:left="2733" w:hanging="360"/>
      </w:pPr>
      <w:rPr>
        <w:rFonts w:ascii="Symbol" w:hAnsi="Symbol" w:hint="default"/>
      </w:rPr>
    </w:lvl>
    <w:lvl w:ilvl="4" w:tplc="040C0003" w:tentative="1">
      <w:start w:val="1"/>
      <w:numFmt w:val="bullet"/>
      <w:lvlText w:val="o"/>
      <w:lvlJc w:val="left"/>
      <w:pPr>
        <w:ind w:left="3453" w:hanging="360"/>
      </w:pPr>
      <w:rPr>
        <w:rFonts w:ascii="Courier New" w:hAnsi="Courier New" w:cs="Courier New" w:hint="default"/>
      </w:rPr>
    </w:lvl>
    <w:lvl w:ilvl="5" w:tplc="040C0005" w:tentative="1">
      <w:start w:val="1"/>
      <w:numFmt w:val="bullet"/>
      <w:lvlText w:val=""/>
      <w:lvlJc w:val="left"/>
      <w:pPr>
        <w:ind w:left="4173" w:hanging="360"/>
      </w:pPr>
      <w:rPr>
        <w:rFonts w:ascii="Wingdings" w:hAnsi="Wingdings" w:hint="default"/>
      </w:rPr>
    </w:lvl>
    <w:lvl w:ilvl="6" w:tplc="040C0001" w:tentative="1">
      <w:start w:val="1"/>
      <w:numFmt w:val="bullet"/>
      <w:lvlText w:val=""/>
      <w:lvlJc w:val="left"/>
      <w:pPr>
        <w:ind w:left="4893" w:hanging="360"/>
      </w:pPr>
      <w:rPr>
        <w:rFonts w:ascii="Symbol" w:hAnsi="Symbol" w:hint="default"/>
      </w:rPr>
    </w:lvl>
    <w:lvl w:ilvl="7" w:tplc="040C0003" w:tentative="1">
      <w:start w:val="1"/>
      <w:numFmt w:val="bullet"/>
      <w:lvlText w:val="o"/>
      <w:lvlJc w:val="left"/>
      <w:pPr>
        <w:ind w:left="5613" w:hanging="360"/>
      </w:pPr>
      <w:rPr>
        <w:rFonts w:ascii="Courier New" w:hAnsi="Courier New" w:cs="Courier New" w:hint="default"/>
      </w:rPr>
    </w:lvl>
    <w:lvl w:ilvl="8" w:tplc="040C0005" w:tentative="1">
      <w:start w:val="1"/>
      <w:numFmt w:val="bullet"/>
      <w:lvlText w:val=""/>
      <w:lvlJc w:val="left"/>
      <w:pPr>
        <w:ind w:left="6333" w:hanging="360"/>
      </w:pPr>
      <w:rPr>
        <w:rFonts w:ascii="Wingdings" w:hAnsi="Wingdings" w:hint="default"/>
      </w:rPr>
    </w:lvl>
  </w:abstractNum>
  <w:abstractNum w:abstractNumId="29" w15:restartNumberingAfterBreak="0">
    <w:nsid w:val="75D12ED9"/>
    <w:multiLevelType w:val="hybridMultilevel"/>
    <w:tmpl w:val="635C508C"/>
    <w:lvl w:ilvl="0" w:tplc="25E66168">
      <w:start w:val="4"/>
      <w:numFmt w:val="bullet"/>
      <w:lvlText w:val=""/>
      <w:lvlJc w:val="left"/>
      <w:pPr>
        <w:ind w:left="547" w:hanging="405"/>
      </w:pPr>
      <w:rPr>
        <w:rFonts w:ascii="Wingdings" w:eastAsia="Times New Roman" w:hAnsi="Wingdings" w:cs="Arial"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15:restartNumberingAfterBreak="0">
    <w:nsid w:val="79A8628E"/>
    <w:multiLevelType w:val="hybridMultilevel"/>
    <w:tmpl w:val="C88AE83E"/>
    <w:lvl w:ilvl="0" w:tplc="4BF217F0">
      <w:start w:val="8"/>
      <w:numFmt w:val="bullet"/>
      <w:lvlText w:val=""/>
      <w:lvlJc w:val="left"/>
      <w:pPr>
        <w:ind w:left="502" w:hanging="360"/>
      </w:pPr>
      <w:rPr>
        <w:rFonts w:ascii="Wingdings" w:eastAsia="Times New Roman" w:hAnsi="Wingdings" w:cs="Arial"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1" w15:restartNumberingAfterBreak="0">
    <w:nsid w:val="7A030A39"/>
    <w:multiLevelType w:val="hybridMultilevel"/>
    <w:tmpl w:val="AC5260F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32" w15:restartNumberingAfterBreak="0">
    <w:nsid w:val="7DF74364"/>
    <w:multiLevelType w:val="hybridMultilevel"/>
    <w:tmpl w:val="2FC892D6"/>
    <w:lvl w:ilvl="0" w:tplc="A90A85E6">
      <w:start w:val="1"/>
      <w:numFmt w:val="bullet"/>
      <w:lvlText w:val=""/>
      <w:lvlJc w:val="left"/>
      <w:pPr>
        <w:ind w:left="720" w:hanging="360"/>
      </w:pPr>
      <w:rPr>
        <w:rFonts w:ascii="Symbol" w:hAnsi="Symbol" w:hint="default"/>
      </w:rPr>
    </w:lvl>
    <w:lvl w:ilvl="1" w:tplc="2E18CD26">
      <w:start w:val="1"/>
      <w:numFmt w:val="bullet"/>
      <w:lvlText w:val="o"/>
      <w:lvlJc w:val="left"/>
      <w:pPr>
        <w:ind w:left="1440" w:hanging="360"/>
      </w:pPr>
      <w:rPr>
        <w:rFonts w:ascii="Courier New" w:hAnsi="Courier New" w:hint="default"/>
      </w:rPr>
    </w:lvl>
    <w:lvl w:ilvl="2" w:tplc="E68E55D8">
      <w:start w:val="1"/>
      <w:numFmt w:val="bullet"/>
      <w:lvlText w:val=""/>
      <w:lvlJc w:val="left"/>
      <w:pPr>
        <w:ind w:left="2160" w:hanging="360"/>
      </w:pPr>
      <w:rPr>
        <w:rFonts w:ascii="Wingdings" w:hAnsi="Wingdings" w:hint="default"/>
      </w:rPr>
    </w:lvl>
    <w:lvl w:ilvl="3" w:tplc="C966CD60">
      <w:start w:val="1"/>
      <w:numFmt w:val="bullet"/>
      <w:lvlText w:val=""/>
      <w:lvlJc w:val="left"/>
      <w:pPr>
        <w:ind w:left="2880" w:hanging="360"/>
      </w:pPr>
      <w:rPr>
        <w:rFonts w:ascii="Symbol" w:hAnsi="Symbol" w:hint="default"/>
      </w:rPr>
    </w:lvl>
    <w:lvl w:ilvl="4" w:tplc="87CE7130">
      <w:start w:val="1"/>
      <w:numFmt w:val="bullet"/>
      <w:lvlText w:val="o"/>
      <w:lvlJc w:val="left"/>
      <w:pPr>
        <w:ind w:left="3600" w:hanging="360"/>
      </w:pPr>
      <w:rPr>
        <w:rFonts w:ascii="Courier New" w:hAnsi="Courier New" w:hint="default"/>
      </w:rPr>
    </w:lvl>
    <w:lvl w:ilvl="5" w:tplc="A08CA8EA">
      <w:start w:val="1"/>
      <w:numFmt w:val="bullet"/>
      <w:lvlText w:val=""/>
      <w:lvlJc w:val="left"/>
      <w:pPr>
        <w:ind w:left="4320" w:hanging="360"/>
      </w:pPr>
      <w:rPr>
        <w:rFonts w:ascii="Wingdings" w:hAnsi="Wingdings" w:hint="default"/>
      </w:rPr>
    </w:lvl>
    <w:lvl w:ilvl="6" w:tplc="A3B26C98">
      <w:start w:val="1"/>
      <w:numFmt w:val="bullet"/>
      <w:lvlText w:val=""/>
      <w:lvlJc w:val="left"/>
      <w:pPr>
        <w:ind w:left="5040" w:hanging="360"/>
      </w:pPr>
      <w:rPr>
        <w:rFonts w:ascii="Symbol" w:hAnsi="Symbol" w:hint="default"/>
      </w:rPr>
    </w:lvl>
    <w:lvl w:ilvl="7" w:tplc="9168C5E6">
      <w:start w:val="1"/>
      <w:numFmt w:val="bullet"/>
      <w:lvlText w:val="o"/>
      <w:lvlJc w:val="left"/>
      <w:pPr>
        <w:ind w:left="5760" w:hanging="360"/>
      </w:pPr>
      <w:rPr>
        <w:rFonts w:ascii="Courier New" w:hAnsi="Courier New" w:hint="default"/>
      </w:rPr>
    </w:lvl>
    <w:lvl w:ilvl="8" w:tplc="7ABCDCA2">
      <w:start w:val="1"/>
      <w:numFmt w:val="bullet"/>
      <w:lvlText w:val=""/>
      <w:lvlJc w:val="left"/>
      <w:pPr>
        <w:ind w:left="6480" w:hanging="360"/>
      </w:pPr>
      <w:rPr>
        <w:rFonts w:ascii="Wingdings" w:hAnsi="Wingdings" w:hint="default"/>
      </w:rPr>
    </w:lvl>
  </w:abstractNum>
  <w:abstractNum w:abstractNumId="33" w15:restartNumberingAfterBreak="0">
    <w:nsid w:val="7ECD58D7"/>
    <w:multiLevelType w:val="hybridMultilevel"/>
    <w:tmpl w:val="CD90A058"/>
    <w:lvl w:ilvl="0" w:tplc="F74471BC">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3"/>
  </w:num>
  <w:num w:numId="2">
    <w:abstractNumId w:val="1"/>
  </w:num>
  <w:num w:numId="3">
    <w:abstractNumId w:val="12"/>
  </w:num>
  <w:num w:numId="4">
    <w:abstractNumId w:val="18"/>
  </w:num>
  <w:num w:numId="5">
    <w:abstractNumId w:val="25"/>
  </w:num>
  <w:num w:numId="6">
    <w:abstractNumId w:val="27"/>
  </w:num>
  <w:num w:numId="7">
    <w:abstractNumId w:val="13"/>
  </w:num>
  <w:num w:numId="8">
    <w:abstractNumId w:val="5"/>
  </w:num>
  <w:num w:numId="9">
    <w:abstractNumId w:val="17"/>
  </w:num>
  <w:num w:numId="10">
    <w:abstractNumId w:val="31"/>
  </w:num>
  <w:num w:numId="11">
    <w:abstractNumId w:val="0"/>
  </w:num>
  <w:num w:numId="12">
    <w:abstractNumId w:val="7"/>
  </w:num>
  <w:num w:numId="13">
    <w:abstractNumId w:val="28"/>
  </w:num>
  <w:num w:numId="14">
    <w:abstractNumId w:val="26"/>
  </w:num>
  <w:num w:numId="15">
    <w:abstractNumId w:val="3"/>
  </w:num>
  <w:num w:numId="16">
    <w:abstractNumId w:val="3"/>
  </w:num>
  <w:num w:numId="17">
    <w:abstractNumId w:val="8"/>
  </w:num>
  <w:num w:numId="18">
    <w:abstractNumId w:val="9"/>
  </w:num>
  <w:num w:numId="19">
    <w:abstractNumId w:val="32"/>
  </w:num>
  <w:num w:numId="20">
    <w:abstractNumId w:val="22"/>
  </w:num>
  <w:num w:numId="21">
    <w:abstractNumId w:val="23"/>
  </w:num>
  <w:num w:numId="22">
    <w:abstractNumId w:val="4"/>
  </w:num>
  <w:num w:numId="23">
    <w:abstractNumId w:val="33"/>
  </w:num>
  <w:num w:numId="24">
    <w:abstractNumId w:val="3"/>
  </w:num>
  <w:num w:numId="25">
    <w:abstractNumId w:val="3"/>
  </w:num>
  <w:num w:numId="26">
    <w:abstractNumId w:val="19"/>
  </w:num>
  <w:num w:numId="27">
    <w:abstractNumId w:val="24"/>
  </w:num>
  <w:num w:numId="28">
    <w:abstractNumId w:val="3"/>
  </w:num>
  <w:num w:numId="29">
    <w:abstractNumId w:val="3"/>
  </w:num>
  <w:num w:numId="30">
    <w:abstractNumId w:val="3"/>
  </w:num>
  <w:num w:numId="31">
    <w:abstractNumId w:val="3"/>
  </w:num>
  <w:num w:numId="32">
    <w:abstractNumId w:val="3"/>
  </w:num>
  <w:num w:numId="33">
    <w:abstractNumId w:val="2"/>
  </w:num>
  <w:num w:numId="34">
    <w:abstractNumId w:val="3"/>
  </w:num>
  <w:num w:numId="35">
    <w:abstractNumId w:val="11"/>
  </w:num>
  <w:num w:numId="36">
    <w:abstractNumId w:val="16"/>
  </w:num>
  <w:num w:numId="37">
    <w:abstractNumId w:val="21"/>
  </w:num>
  <w:num w:numId="38">
    <w:abstractNumId w:val="20"/>
  </w:num>
  <w:num w:numId="39">
    <w:abstractNumId w:val="14"/>
  </w:num>
  <w:num w:numId="40">
    <w:abstractNumId w:val="15"/>
  </w:num>
  <w:num w:numId="41">
    <w:abstractNumId w:val="6"/>
  </w:num>
  <w:num w:numId="42">
    <w:abstractNumId w:val="10"/>
  </w:num>
  <w:num w:numId="43">
    <w:abstractNumId w:val="29"/>
  </w:num>
  <w:num w:numId="4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3FE"/>
    <w:rsid w:val="00004A22"/>
    <w:rsid w:val="00005B1D"/>
    <w:rsid w:val="00005D16"/>
    <w:rsid w:val="000065E0"/>
    <w:rsid w:val="00006B9C"/>
    <w:rsid w:val="00006C11"/>
    <w:rsid w:val="0001201D"/>
    <w:rsid w:val="000123F4"/>
    <w:rsid w:val="00012E75"/>
    <w:rsid w:val="000136C2"/>
    <w:rsid w:val="000137A4"/>
    <w:rsid w:val="0001738E"/>
    <w:rsid w:val="00017D4C"/>
    <w:rsid w:val="00022E35"/>
    <w:rsid w:val="0002342B"/>
    <w:rsid w:val="00023B5D"/>
    <w:rsid w:val="00024793"/>
    <w:rsid w:val="000247C1"/>
    <w:rsid w:val="0002600E"/>
    <w:rsid w:val="00031A5F"/>
    <w:rsid w:val="000324E5"/>
    <w:rsid w:val="00036B30"/>
    <w:rsid w:val="00037579"/>
    <w:rsid w:val="00040AF4"/>
    <w:rsid w:val="00041825"/>
    <w:rsid w:val="00042653"/>
    <w:rsid w:val="00043089"/>
    <w:rsid w:val="0004473C"/>
    <w:rsid w:val="00044BCC"/>
    <w:rsid w:val="000459C8"/>
    <w:rsid w:val="00045CC4"/>
    <w:rsid w:val="00051C12"/>
    <w:rsid w:val="0005274C"/>
    <w:rsid w:val="00052F77"/>
    <w:rsid w:val="00053F7C"/>
    <w:rsid w:val="00054DCB"/>
    <w:rsid w:val="0005560A"/>
    <w:rsid w:val="000610B6"/>
    <w:rsid w:val="00063FDA"/>
    <w:rsid w:val="00064CA3"/>
    <w:rsid w:val="000653B2"/>
    <w:rsid w:val="00066D92"/>
    <w:rsid w:val="0006733C"/>
    <w:rsid w:val="00070210"/>
    <w:rsid w:val="00071146"/>
    <w:rsid w:val="00071A90"/>
    <w:rsid w:val="00074CEC"/>
    <w:rsid w:val="00075411"/>
    <w:rsid w:val="00075C46"/>
    <w:rsid w:val="00075F47"/>
    <w:rsid w:val="00076373"/>
    <w:rsid w:val="00076ADA"/>
    <w:rsid w:val="00076C22"/>
    <w:rsid w:val="00077FD2"/>
    <w:rsid w:val="0008181C"/>
    <w:rsid w:val="000848B7"/>
    <w:rsid w:val="00090890"/>
    <w:rsid w:val="000917A7"/>
    <w:rsid w:val="00095C98"/>
    <w:rsid w:val="00096829"/>
    <w:rsid w:val="000A3C40"/>
    <w:rsid w:val="000A5669"/>
    <w:rsid w:val="000A6693"/>
    <w:rsid w:val="000B02CB"/>
    <w:rsid w:val="000B36B1"/>
    <w:rsid w:val="000B37C5"/>
    <w:rsid w:val="000B3C18"/>
    <w:rsid w:val="000B4793"/>
    <w:rsid w:val="000B5BC0"/>
    <w:rsid w:val="000B6BE7"/>
    <w:rsid w:val="000B767B"/>
    <w:rsid w:val="000C2B17"/>
    <w:rsid w:val="000C2CD0"/>
    <w:rsid w:val="000C30BC"/>
    <w:rsid w:val="000C5761"/>
    <w:rsid w:val="000C5DD0"/>
    <w:rsid w:val="000C6BE6"/>
    <w:rsid w:val="000D1E3A"/>
    <w:rsid w:val="000D395C"/>
    <w:rsid w:val="000D3DE1"/>
    <w:rsid w:val="000D7207"/>
    <w:rsid w:val="000D7BB1"/>
    <w:rsid w:val="000E024F"/>
    <w:rsid w:val="000E049C"/>
    <w:rsid w:val="000E1054"/>
    <w:rsid w:val="000E23C1"/>
    <w:rsid w:val="000E275F"/>
    <w:rsid w:val="000E29AF"/>
    <w:rsid w:val="000E2E27"/>
    <w:rsid w:val="000E542B"/>
    <w:rsid w:val="000E6B1E"/>
    <w:rsid w:val="000E7844"/>
    <w:rsid w:val="000E7D8A"/>
    <w:rsid w:val="000F5FBB"/>
    <w:rsid w:val="00101818"/>
    <w:rsid w:val="00101F63"/>
    <w:rsid w:val="00103731"/>
    <w:rsid w:val="00103DF4"/>
    <w:rsid w:val="001064EE"/>
    <w:rsid w:val="00106636"/>
    <w:rsid w:val="00116E6C"/>
    <w:rsid w:val="0011755B"/>
    <w:rsid w:val="00120BFE"/>
    <w:rsid w:val="00120E3B"/>
    <w:rsid w:val="001221B4"/>
    <w:rsid w:val="00122281"/>
    <w:rsid w:val="00122861"/>
    <w:rsid w:val="00124B4C"/>
    <w:rsid w:val="00125B26"/>
    <w:rsid w:val="0012697C"/>
    <w:rsid w:val="00130D05"/>
    <w:rsid w:val="00132882"/>
    <w:rsid w:val="001329E0"/>
    <w:rsid w:val="00133020"/>
    <w:rsid w:val="001331F4"/>
    <w:rsid w:val="00135466"/>
    <w:rsid w:val="00136830"/>
    <w:rsid w:val="00140757"/>
    <w:rsid w:val="00140DC2"/>
    <w:rsid w:val="00140E6A"/>
    <w:rsid w:val="00141DC1"/>
    <w:rsid w:val="0014245C"/>
    <w:rsid w:val="001426D4"/>
    <w:rsid w:val="00142E96"/>
    <w:rsid w:val="00144A62"/>
    <w:rsid w:val="00145C6B"/>
    <w:rsid w:val="0015128F"/>
    <w:rsid w:val="00151B5F"/>
    <w:rsid w:val="00153F17"/>
    <w:rsid w:val="00154899"/>
    <w:rsid w:val="00154B2F"/>
    <w:rsid w:val="00155A75"/>
    <w:rsid w:val="00155C82"/>
    <w:rsid w:val="0016087F"/>
    <w:rsid w:val="00164932"/>
    <w:rsid w:val="0016567A"/>
    <w:rsid w:val="00170AB7"/>
    <w:rsid w:val="00171065"/>
    <w:rsid w:val="00171221"/>
    <w:rsid w:val="00171469"/>
    <w:rsid w:val="00171F96"/>
    <w:rsid w:val="0017280C"/>
    <w:rsid w:val="0017304A"/>
    <w:rsid w:val="00174175"/>
    <w:rsid w:val="0017531F"/>
    <w:rsid w:val="001762CA"/>
    <w:rsid w:val="00180438"/>
    <w:rsid w:val="00180769"/>
    <w:rsid w:val="001818D8"/>
    <w:rsid w:val="00182629"/>
    <w:rsid w:val="00183FC9"/>
    <w:rsid w:val="00184C77"/>
    <w:rsid w:val="00185B47"/>
    <w:rsid w:val="00187018"/>
    <w:rsid w:val="0018723F"/>
    <w:rsid w:val="00187671"/>
    <w:rsid w:val="00187FE6"/>
    <w:rsid w:val="00190599"/>
    <w:rsid w:val="00190778"/>
    <w:rsid w:val="00190A3C"/>
    <w:rsid w:val="00192678"/>
    <w:rsid w:val="00194B82"/>
    <w:rsid w:val="001961B5"/>
    <w:rsid w:val="001967D1"/>
    <w:rsid w:val="001A0ED8"/>
    <w:rsid w:val="001A13CC"/>
    <w:rsid w:val="001A16CE"/>
    <w:rsid w:val="001A20B9"/>
    <w:rsid w:val="001A57ED"/>
    <w:rsid w:val="001A6B52"/>
    <w:rsid w:val="001A7F5A"/>
    <w:rsid w:val="001B1178"/>
    <w:rsid w:val="001B245F"/>
    <w:rsid w:val="001B2AD3"/>
    <w:rsid w:val="001B5554"/>
    <w:rsid w:val="001B7C09"/>
    <w:rsid w:val="001C1802"/>
    <w:rsid w:val="001C1EC3"/>
    <w:rsid w:val="001C2798"/>
    <w:rsid w:val="001C44C6"/>
    <w:rsid w:val="001C5FC3"/>
    <w:rsid w:val="001C65BE"/>
    <w:rsid w:val="001C78D7"/>
    <w:rsid w:val="001D01E7"/>
    <w:rsid w:val="001D1DA1"/>
    <w:rsid w:val="001D26FD"/>
    <w:rsid w:val="001D292B"/>
    <w:rsid w:val="001D45A0"/>
    <w:rsid w:val="001E01B2"/>
    <w:rsid w:val="001E0302"/>
    <w:rsid w:val="001E20BF"/>
    <w:rsid w:val="001E3A76"/>
    <w:rsid w:val="001E40B3"/>
    <w:rsid w:val="001E417F"/>
    <w:rsid w:val="001E6B89"/>
    <w:rsid w:val="001F3961"/>
    <w:rsid w:val="001F4562"/>
    <w:rsid w:val="001F4F8D"/>
    <w:rsid w:val="001F6645"/>
    <w:rsid w:val="001F6A4F"/>
    <w:rsid w:val="001F738D"/>
    <w:rsid w:val="001F7756"/>
    <w:rsid w:val="001F77E9"/>
    <w:rsid w:val="0020024E"/>
    <w:rsid w:val="002048FA"/>
    <w:rsid w:val="00205619"/>
    <w:rsid w:val="00205759"/>
    <w:rsid w:val="00207E5C"/>
    <w:rsid w:val="00210A46"/>
    <w:rsid w:val="00215F73"/>
    <w:rsid w:val="00216A69"/>
    <w:rsid w:val="00220225"/>
    <w:rsid w:val="00222FC8"/>
    <w:rsid w:val="00224BB5"/>
    <w:rsid w:val="00226D25"/>
    <w:rsid w:val="0023267B"/>
    <w:rsid w:val="002333FE"/>
    <w:rsid w:val="00234915"/>
    <w:rsid w:val="00236259"/>
    <w:rsid w:val="00237F19"/>
    <w:rsid w:val="00241048"/>
    <w:rsid w:val="00241E1F"/>
    <w:rsid w:val="00246865"/>
    <w:rsid w:val="00246F52"/>
    <w:rsid w:val="00247D1C"/>
    <w:rsid w:val="00250A6F"/>
    <w:rsid w:val="00251576"/>
    <w:rsid w:val="00251678"/>
    <w:rsid w:val="00251DED"/>
    <w:rsid w:val="00252B8D"/>
    <w:rsid w:val="00253E71"/>
    <w:rsid w:val="002542C0"/>
    <w:rsid w:val="00254514"/>
    <w:rsid w:val="00254921"/>
    <w:rsid w:val="00257B77"/>
    <w:rsid w:val="0026533B"/>
    <w:rsid w:val="00266F27"/>
    <w:rsid w:val="00270303"/>
    <w:rsid w:val="00270A1A"/>
    <w:rsid w:val="00272126"/>
    <w:rsid w:val="00272B30"/>
    <w:rsid w:val="002738D5"/>
    <w:rsid w:val="00273DAB"/>
    <w:rsid w:val="0027407E"/>
    <w:rsid w:val="00274E33"/>
    <w:rsid w:val="002755A6"/>
    <w:rsid w:val="00276869"/>
    <w:rsid w:val="00281DD5"/>
    <w:rsid w:val="0028203A"/>
    <w:rsid w:val="002828B7"/>
    <w:rsid w:val="0028482B"/>
    <w:rsid w:val="00287705"/>
    <w:rsid w:val="002878F4"/>
    <w:rsid w:val="00287BC9"/>
    <w:rsid w:val="00292C87"/>
    <w:rsid w:val="0029334A"/>
    <w:rsid w:val="00295447"/>
    <w:rsid w:val="00295E40"/>
    <w:rsid w:val="002A2F5D"/>
    <w:rsid w:val="002A3D33"/>
    <w:rsid w:val="002A3EC7"/>
    <w:rsid w:val="002A7AB7"/>
    <w:rsid w:val="002A7BCA"/>
    <w:rsid w:val="002B1915"/>
    <w:rsid w:val="002B1F23"/>
    <w:rsid w:val="002B4237"/>
    <w:rsid w:val="002B5AF2"/>
    <w:rsid w:val="002B660B"/>
    <w:rsid w:val="002B6A00"/>
    <w:rsid w:val="002B6AE5"/>
    <w:rsid w:val="002B7103"/>
    <w:rsid w:val="002B7675"/>
    <w:rsid w:val="002C0483"/>
    <w:rsid w:val="002C0982"/>
    <w:rsid w:val="002C73B9"/>
    <w:rsid w:val="002D0290"/>
    <w:rsid w:val="002D2BBC"/>
    <w:rsid w:val="002D4BEB"/>
    <w:rsid w:val="002D5179"/>
    <w:rsid w:val="002D7F39"/>
    <w:rsid w:val="002E2FF1"/>
    <w:rsid w:val="002E3E6C"/>
    <w:rsid w:val="002E4582"/>
    <w:rsid w:val="002E6456"/>
    <w:rsid w:val="002E78E4"/>
    <w:rsid w:val="002E7DFD"/>
    <w:rsid w:val="002F0FB4"/>
    <w:rsid w:val="002F2351"/>
    <w:rsid w:val="002F4D1B"/>
    <w:rsid w:val="003013DA"/>
    <w:rsid w:val="00304DDD"/>
    <w:rsid w:val="003063A1"/>
    <w:rsid w:val="00306898"/>
    <w:rsid w:val="00306FB9"/>
    <w:rsid w:val="00307FE4"/>
    <w:rsid w:val="003116D1"/>
    <w:rsid w:val="003142AC"/>
    <w:rsid w:val="00314D04"/>
    <w:rsid w:val="0032018A"/>
    <w:rsid w:val="00321148"/>
    <w:rsid w:val="00323EEE"/>
    <w:rsid w:val="00323F45"/>
    <w:rsid w:val="00324624"/>
    <w:rsid w:val="00324F9A"/>
    <w:rsid w:val="0032754A"/>
    <w:rsid w:val="00331A06"/>
    <w:rsid w:val="003329BC"/>
    <w:rsid w:val="00333A04"/>
    <w:rsid w:val="003342F3"/>
    <w:rsid w:val="00335A7B"/>
    <w:rsid w:val="003372EF"/>
    <w:rsid w:val="003403A6"/>
    <w:rsid w:val="00340FF8"/>
    <w:rsid w:val="00342DD0"/>
    <w:rsid w:val="0034465B"/>
    <w:rsid w:val="00344A8F"/>
    <w:rsid w:val="00345166"/>
    <w:rsid w:val="00347814"/>
    <w:rsid w:val="00347A3B"/>
    <w:rsid w:val="00350463"/>
    <w:rsid w:val="003505CF"/>
    <w:rsid w:val="003525F0"/>
    <w:rsid w:val="003534F7"/>
    <w:rsid w:val="003556DB"/>
    <w:rsid w:val="00355F2A"/>
    <w:rsid w:val="003575EF"/>
    <w:rsid w:val="00361CE5"/>
    <w:rsid w:val="00362396"/>
    <w:rsid w:val="003627E9"/>
    <w:rsid w:val="00364A5D"/>
    <w:rsid w:val="00364D6A"/>
    <w:rsid w:val="00365B22"/>
    <w:rsid w:val="003673E1"/>
    <w:rsid w:val="00370B53"/>
    <w:rsid w:val="00372E8A"/>
    <w:rsid w:val="00372EBF"/>
    <w:rsid w:val="0037370C"/>
    <w:rsid w:val="00374692"/>
    <w:rsid w:val="00375098"/>
    <w:rsid w:val="003755FC"/>
    <w:rsid w:val="00375EAF"/>
    <w:rsid w:val="003802A8"/>
    <w:rsid w:val="00382B8F"/>
    <w:rsid w:val="00383C6A"/>
    <w:rsid w:val="0038471C"/>
    <w:rsid w:val="003866D5"/>
    <w:rsid w:val="0038797D"/>
    <w:rsid w:val="00390701"/>
    <w:rsid w:val="00391561"/>
    <w:rsid w:val="00391770"/>
    <w:rsid w:val="003937B7"/>
    <w:rsid w:val="003949AC"/>
    <w:rsid w:val="003976E9"/>
    <w:rsid w:val="003A0EA4"/>
    <w:rsid w:val="003A23DB"/>
    <w:rsid w:val="003A6D72"/>
    <w:rsid w:val="003A7610"/>
    <w:rsid w:val="003B035D"/>
    <w:rsid w:val="003B16F4"/>
    <w:rsid w:val="003B37F6"/>
    <w:rsid w:val="003B704F"/>
    <w:rsid w:val="003B7309"/>
    <w:rsid w:val="003C09D0"/>
    <w:rsid w:val="003C1142"/>
    <w:rsid w:val="003C1220"/>
    <w:rsid w:val="003C1409"/>
    <w:rsid w:val="003C22FD"/>
    <w:rsid w:val="003C2572"/>
    <w:rsid w:val="003C4564"/>
    <w:rsid w:val="003D1C50"/>
    <w:rsid w:val="003D208F"/>
    <w:rsid w:val="003D3ADE"/>
    <w:rsid w:val="003D408C"/>
    <w:rsid w:val="003D4C38"/>
    <w:rsid w:val="003D79F9"/>
    <w:rsid w:val="003E09C8"/>
    <w:rsid w:val="003E0B49"/>
    <w:rsid w:val="003E1045"/>
    <w:rsid w:val="003E14C8"/>
    <w:rsid w:val="003E1DC8"/>
    <w:rsid w:val="003E2E88"/>
    <w:rsid w:val="003E4656"/>
    <w:rsid w:val="003E6313"/>
    <w:rsid w:val="003E7C38"/>
    <w:rsid w:val="003F0A5F"/>
    <w:rsid w:val="003F14F4"/>
    <w:rsid w:val="0040100B"/>
    <w:rsid w:val="0040155D"/>
    <w:rsid w:val="0040161E"/>
    <w:rsid w:val="004038F4"/>
    <w:rsid w:val="004041FB"/>
    <w:rsid w:val="00404DB7"/>
    <w:rsid w:val="00405965"/>
    <w:rsid w:val="00405C8A"/>
    <w:rsid w:val="00406156"/>
    <w:rsid w:val="00410F91"/>
    <w:rsid w:val="0041103B"/>
    <w:rsid w:val="004117CD"/>
    <w:rsid w:val="00412F54"/>
    <w:rsid w:val="00420ABB"/>
    <w:rsid w:val="00422E14"/>
    <w:rsid w:val="00422E3E"/>
    <w:rsid w:val="00424387"/>
    <w:rsid w:val="0042720F"/>
    <w:rsid w:val="00427E36"/>
    <w:rsid w:val="004305D5"/>
    <w:rsid w:val="004319E7"/>
    <w:rsid w:val="00431EF5"/>
    <w:rsid w:val="00433810"/>
    <w:rsid w:val="004349FF"/>
    <w:rsid w:val="00435625"/>
    <w:rsid w:val="004359B7"/>
    <w:rsid w:val="00436FA2"/>
    <w:rsid w:val="00437B8A"/>
    <w:rsid w:val="00440B81"/>
    <w:rsid w:val="00441FCE"/>
    <w:rsid w:val="00442F8D"/>
    <w:rsid w:val="00443015"/>
    <w:rsid w:val="00444056"/>
    <w:rsid w:val="004443D6"/>
    <w:rsid w:val="004458F2"/>
    <w:rsid w:val="00447ACA"/>
    <w:rsid w:val="004503D5"/>
    <w:rsid w:val="00450899"/>
    <w:rsid w:val="00451A77"/>
    <w:rsid w:val="004535CD"/>
    <w:rsid w:val="004549BB"/>
    <w:rsid w:val="00455AFF"/>
    <w:rsid w:val="004604F4"/>
    <w:rsid w:val="00460971"/>
    <w:rsid w:val="00461317"/>
    <w:rsid w:val="00462C8E"/>
    <w:rsid w:val="00464978"/>
    <w:rsid w:val="00464CB0"/>
    <w:rsid w:val="004668E2"/>
    <w:rsid w:val="00470611"/>
    <w:rsid w:val="00471105"/>
    <w:rsid w:val="00471714"/>
    <w:rsid w:val="00472C61"/>
    <w:rsid w:val="00473DE2"/>
    <w:rsid w:val="0047431B"/>
    <w:rsid w:val="00475367"/>
    <w:rsid w:val="0047647E"/>
    <w:rsid w:val="00476602"/>
    <w:rsid w:val="004779C2"/>
    <w:rsid w:val="00480047"/>
    <w:rsid w:val="004801D1"/>
    <w:rsid w:val="00480369"/>
    <w:rsid w:val="00481344"/>
    <w:rsid w:val="00484A29"/>
    <w:rsid w:val="0048527C"/>
    <w:rsid w:val="0048621F"/>
    <w:rsid w:val="00490082"/>
    <w:rsid w:val="00492605"/>
    <w:rsid w:val="00494B0C"/>
    <w:rsid w:val="00497AE8"/>
    <w:rsid w:val="004A102B"/>
    <w:rsid w:val="004A1394"/>
    <w:rsid w:val="004A2520"/>
    <w:rsid w:val="004A307F"/>
    <w:rsid w:val="004A4072"/>
    <w:rsid w:val="004A623B"/>
    <w:rsid w:val="004A6255"/>
    <w:rsid w:val="004A70D4"/>
    <w:rsid w:val="004B2CF2"/>
    <w:rsid w:val="004B47A8"/>
    <w:rsid w:val="004B4DDD"/>
    <w:rsid w:val="004B6A04"/>
    <w:rsid w:val="004B75F3"/>
    <w:rsid w:val="004B7B4E"/>
    <w:rsid w:val="004C05B0"/>
    <w:rsid w:val="004C28DB"/>
    <w:rsid w:val="004C3C2E"/>
    <w:rsid w:val="004C4200"/>
    <w:rsid w:val="004C4FFC"/>
    <w:rsid w:val="004D14FF"/>
    <w:rsid w:val="004D1AB0"/>
    <w:rsid w:val="004D32B1"/>
    <w:rsid w:val="004D39F4"/>
    <w:rsid w:val="004D5BCB"/>
    <w:rsid w:val="004D6418"/>
    <w:rsid w:val="004E33C2"/>
    <w:rsid w:val="004E3855"/>
    <w:rsid w:val="004E63C4"/>
    <w:rsid w:val="004E735B"/>
    <w:rsid w:val="004E7450"/>
    <w:rsid w:val="004F05D0"/>
    <w:rsid w:val="004F179B"/>
    <w:rsid w:val="004F3BE6"/>
    <w:rsid w:val="004F457B"/>
    <w:rsid w:val="004F4BB0"/>
    <w:rsid w:val="004F54B9"/>
    <w:rsid w:val="004F58C5"/>
    <w:rsid w:val="004F59A0"/>
    <w:rsid w:val="00500D6B"/>
    <w:rsid w:val="005013DC"/>
    <w:rsid w:val="00501BB7"/>
    <w:rsid w:val="00502B76"/>
    <w:rsid w:val="00504F0C"/>
    <w:rsid w:val="00505A44"/>
    <w:rsid w:val="00506CA6"/>
    <w:rsid w:val="00507B51"/>
    <w:rsid w:val="005102E2"/>
    <w:rsid w:val="0051064D"/>
    <w:rsid w:val="00510D9F"/>
    <w:rsid w:val="0051241C"/>
    <w:rsid w:val="0051389E"/>
    <w:rsid w:val="00515F7B"/>
    <w:rsid w:val="00517390"/>
    <w:rsid w:val="00517F6F"/>
    <w:rsid w:val="00523924"/>
    <w:rsid w:val="00525A8F"/>
    <w:rsid w:val="00526C3C"/>
    <w:rsid w:val="00527065"/>
    <w:rsid w:val="00527DA1"/>
    <w:rsid w:val="0053087D"/>
    <w:rsid w:val="00531102"/>
    <w:rsid w:val="00534012"/>
    <w:rsid w:val="005342C3"/>
    <w:rsid w:val="005358AC"/>
    <w:rsid w:val="0053643B"/>
    <w:rsid w:val="00536DAD"/>
    <w:rsid w:val="005372E0"/>
    <w:rsid w:val="0054128A"/>
    <w:rsid w:val="00542927"/>
    <w:rsid w:val="005433DB"/>
    <w:rsid w:val="00543837"/>
    <w:rsid w:val="005445C8"/>
    <w:rsid w:val="0054611A"/>
    <w:rsid w:val="00547131"/>
    <w:rsid w:val="00551774"/>
    <w:rsid w:val="0055373E"/>
    <w:rsid w:val="00553BAB"/>
    <w:rsid w:val="005543AB"/>
    <w:rsid w:val="005549E1"/>
    <w:rsid w:val="00555349"/>
    <w:rsid w:val="005561E1"/>
    <w:rsid w:val="00556BDE"/>
    <w:rsid w:val="005635C3"/>
    <w:rsid w:val="00564525"/>
    <w:rsid w:val="00564EE7"/>
    <w:rsid w:val="00565FE9"/>
    <w:rsid w:val="00566D5D"/>
    <w:rsid w:val="00567BB5"/>
    <w:rsid w:val="00567D39"/>
    <w:rsid w:val="00571853"/>
    <w:rsid w:val="0057324D"/>
    <w:rsid w:val="00573FC9"/>
    <w:rsid w:val="0057441F"/>
    <w:rsid w:val="00577300"/>
    <w:rsid w:val="00581DA3"/>
    <w:rsid w:val="0058297B"/>
    <w:rsid w:val="00582B4E"/>
    <w:rsid w:val="00583369"/>
    <w:rsid w:val="005847D0"/>
    <w:rsid w:val="00585AAF"/>
    <w:rsid w:val="00586E7B"/>
    <w:rsid w:val="00586F68"/>
    <w:rsid w:val="005870B3"/>
    <w:rsid w:val="0059269E"/>
    <w:rsid w:val="00592862"/>
    <w:rsid w:val="00592ADF"/>
    <w:rsid w:val="00595D47"/>
    <w:rsid w:val="005961A5"/>
    <w:rsid w:val="00596B9B"/>
    <w:rsid w:val="005A07C6"/>
    <w:rsid w:val="005A0F27"/>
    <w:rsid w:val="005A1115"/>
    <w:rsid w:val="005A661C"/>
    <w:rsid w:val="005A7564"/>
    <w:rsid w:val="005B1B8D"/>
    <w:rsid w:val="005B1F86"/>
    <w:rsid w:val="005B4C20"/>
    <w:rsid w:val="005B4F31"/>
    <w:rsid w:val="005B626E"/>
    <w:rsid w:val="005B7CF2"/>
    <w:rsid w:val="005C390C"/>
    <w:rsid w:val="005C4CC9"/>
    <w:rsid w:val="005D1F6A"/>
    <w:rsid w:val="005D46C0"/>
    <w:rsid w:val="005D4CFA"/>
    <w:rsid w:val="005D4D73"/>
    <w:rsid w:val="005D5292"/>
    <w:rsid w:val="005D6678"/>
    <w:rsid w:val="005D79EA"/>
    <w:rsid w:val="005D7BB9"/>
    <w:rsid w:val="005D7F12"/>
    <w:rsid w:val="005E038B"/>
    <w:rsid w:val="005E0F7B"/>
    <w:rsid w:val="005E300C"/>
    <w:rsid w:val="005E43CC"/>
    <w:rsid w:val="005E4F31"/>
    <w:rsid w:val="005E7167"/>
    <w:rsid w:val="005F0415"/>
    <w:rsid w:val="005F1A6F"/>
    <w:rsid w:val="005F2328"/>
    <w:rsid w:val="005F25F9"/>
    <w:rsid w:val="005F41BA"/>
    <w:rsid w:val="005F4CED"/>
    <w:rsid w:val="005F559D"/>
    <w:rsid w:val="005F7FD9"/>
    <w:rsid w:val="00602EC1"/>
    <w:rsid w:val="00603066"/>
    <w:rsid w:val="0060398C"/>
    <w:rsid w:val="0060582B"/>
    <w:rsid w:val="0061029F"/>
    <w:rsid w:val="0061075E"/>
    <w:rsid w:val="00611380"/>
    <w:rsid w:val="00611A46"/>
    <w:rsid w:val="006146D4"/>
    <w:rsid w:val="006154CB"/>
    <w:rsid w:val="00617D3C"/>
    <w:rsid w:val="00620CFE"/>
    <w:rsid w:val="006243B6"/>
    <w:rsid w:val="006318AE"/>
    <w:rsid w:val="00631C95"/>
    <w:rsid w:val="00632739"/>
    <w:rsid w:val="00633F42"/>
    <w:rsid w:val="006355E2"/>
    <w:rsid w:val="00635CB9"/>
    <w:rsid w:val="0063717F"/>
    <w:rsid w:val="00640ABC"/>
    <w:rsid w:val="00647062"/>
    <w:rsid w:val="00647275"/>
    <w:rsid w:val="0064759A"/>
    <w:rsid w:val="0065485E"/>
    <w:rsid w:val="00654E26"/>
    <w:rsid w:val="006561E9"/>
    <w:rsid w:val="00656D4D"/>
    <w:rsid w:val="00657050"/>
    <w:rsid w:val="0065741C"/>
    <w:rsid w:val="00660EF8"/>
    <w:rsid w:val="0066163C"/>
    <w:rsid w:val="006618F5"/>
    <w:rsid w:val="00663612"/>
    <w:rsid w:val="00666271"/>
    <w:rsid w:val="006662B3"/>
    <w:rsid w:val="00666CFD"/>
    <w:rsid w:val="00667F46"/>
    <w:rsid w:val="0067152F"/>
    <w:rsid w:val="0067289F"/>
    <w:rsid w:val="006731ED"/>
    <w:rsid w:val="006740ED"/>
    <w:rsid w:val="00674A49"/>
    <w:rsid w:val="00676B22"/>
    <w:rsid w:val="00677409"/>
    <w:rsid w:val="00680D71"/>
    <w:rsid w:val="00681641"/>
    <w:rsid w:val="00681F3A"/>
    <w:rsid w:val="00681F75"/>
    <w:rsid w:val="00682705"/>
    <w:rsid w:val="006852A2"/>
    <w:rsid w:val="00685A7C"/>
    <w:rsid w:val="00691580"/>
    <w:rsid w:val="00693053"/>
    <w:rsid w:val="00693487"/>
    <w:rsid w:val="00694AC0"/>
    <w:rsid w:val="00696293"/>
    <w:rsid w:val="0069695D"/>
    <w:rsid w:val="006A1809"/>
    <w:rsid w:val="006A2853"/>
    <w:rsid w:val="006A334E"/>
    <w:rsid w:val="006A468A"/>
    <w:rsid w:val="006A532D"/>
    <w:rsid w:val="006A75DC"/>
    <w:rsid w:val="006A77BE"/>
    <w:rsid w:val="006A7D1B"/>
    <w:rsid w:val="006B0631"/>
    <w:rsid w:val="006B5C68"/>
    <w:rsid w:val="006B78F3"/>
    <w:rsid w:val="006C062A"/>
    <w:rsid w:val="006C11C1"/>
    <w:rsid w:val="006C184C"/>
    <w:rsid w:val="006C2965"/>
    <w:rsid w:val="006C5994"/>
    <w:rsid w:val="006D4973"/>
    <w:rsid w:val="006D75E3"/>
    <w:rsid w:val="006D7A95"/>
    <w:rsid w:val="006D7F82"/>
    <w:rsid w:val="006E09F7"/>
    <w:rsid w:val="006E3BA6"/>
    <w:rsid w:val="006E5884"/>
    <w:rsid w:val="006E6531"/>
    <w:rsid w:val="006E65B7"/>
    <w:rsid w:val="006E726C"/>
    <w:rsid w:val="006F23F8"/>
    <w:rsid w:val="006F3B24"/>
    <w:rsid w:val="006F419C"/>
    <w:rsid w:val="006F486D"/>
    <w:rsid w:val="006F50AB"/>
    <w:rsid w:val="006F54FC"/>
    <w:rsid w:val="006F5CDB"/>
    <w:rsid w:val="006F6076"/>
    <w:rsid w:val="006F71D9"/>
    <w:rsid w:val="006F7423"/>
    <w:rsid w:val="006F791D"/>
    <w:rsid w:val="00700071"/>
    <w:rsid w:val="00702350"/>
    <w:rsid w:val="00704087"/>
    <w:rsid w:val="00704AC2"/>
    <w:rsid w:val="00705D52"/>
    <w:rsid w:val="007062A0"/>
    <w:rsid w:val="00707D59"/>
    <w:rsid w:val="00710391"/>
    <w:rsid w:val="007106D8"/>
    <w:rsid w:val="00710873"/>
    <w:rsid w:val="0071102C"/>
    <w:rsid w:val="00712E4D"/>
    <w:rsid w:val="0071464C"/>
    <w:rsid w:val="00715F14"/>
    <w:rsid w:val="007176AD"/>
    <w:rsid w:val="007201C6"/>
    <w:rsid w:val="00720723"/>
    <w:rsid w:val="007208A9"/>
    <w:rsid w:val="00722BA4"/>
    <w:rsid w:val="0072325C"/>
    <w:rsid w:val="00725BD0"/>
    <w:rsid w:val="00726E0F"/>
    <w:rsid w:val="007311B1"/>
    <w:rsid w:val="007318BB"/>
    <w:rsid w:val="007327E8"/>
    <w:rsid w:val="0073707A"/>
    <w:rsid w:val="00737E43"/>
    <w:rsid w:val="00740CC8"/>
    <w:rsid w:val="00742234"/>
    <w:rsid w:val="00746CCB"/>
    <w:rsid w:val="00751875"/>
    <w:rsid w:val="0075241D"/>
    <w:rsid w:val="00754023"/>
    <w:rsid w:val="00754044"/>
    <w:rsid w:val="0075485C"/>
    <w:rsid w:val="0075506B"/>
    <w:rsid w:val="00756F36"/>
    <w:rsid w:val="0076158B"/>
    <w:rsid w:val="00761A70"/>
    <w:rsid w:val="00762351"/>
    <w:rsid w:val="00762F62"/>
    <w:rsid w:val="00763BC9"/>
    <w:rsid w:val="007656D3"/>
    <w:rsid w:val="00770243"/>
    <w:rsid w:val="00770A57"/>
    <w:rsid w:val="00771046"/>
    <w:rsid w:val="00771F51"/>
    <w:rsid w:val="0077434A"/>
    <w:rsid w:val="00777218"/>
    <w:rsid w:val="007813E5"/>
    <w:rsid w:val="00781895"/>
    <w:rsid w:val="00782B1F"/>
    <w:rsid w:val="00782FDB"/>
    <w:rsid w:val="0078351A"/>
    <w:rsid w:val="00783E3F"/>
    <w:rsid w:val="00784CF0"/>
    <w:rsid w:val="00786EDE"/>
    <w:rsid w:val="00790423"/>
    <w:rsid w:val="007922CC"/>
    <w:rsid w:val="00794D4E"/>
    <w:rsid w:val="00795C14"/>
    <w:rsid w:val="00797D9A"/>
    <w:rsid w:val="007A315F"/>
    <w:rsid w:val="007A3DB9"/>
    <w:rsid w:val="007A3FB7"/>
    <w:rsid w:val="007A47AF"/>
    <w:rsid w:val="007A5E9B"/>
    <w:rsid w:val="007A7A25"/>
    <w:rsid w:val="007B2973"/>
    <w:rsid w:val="007B3524"/>
    <w:rsid w:val="007B3AA9"/>
    <w:rsid w:val="007B55F3"/>
    <w:rsid w:val="007B5BCE"/>
    <w:rsid w:val="007B5C77"/>
    <w:rsid w:val="007C0F4C"/>
    <w:rsid w:val="007C1B24"/>
    <w:rsid w:val="007C2018"/>
    <w:rsid w:val="007C2379"/>
    <w:rsid w:val="007C309C"/>
    <w:rsid w:val="007C4678"/>
    <w:rsid w:val="007D0678"/>
    <w:rsid w:val="007D1D7F"/>
    <w:rsid w:val="007D2460"/>
    <w:rsid w:val="007D41EB"/>
    <w:rsid w:val="007D451E"/>
    <w:rsid w:val="007E0267"/>
    <w:rsid w:val="007E0FD5"/>
    <w:rsid w:val="007E2B66"/>
    <w:rsid w:val="007E2E68"/>
    <w:rsid w:val="007E36CA"/>
    <w:rsid w:val="007E41AD"/>
    <w:rsid w:val="007E41B4"/>
    <w:rsid w:val="007E6341"/>
    <w:rsid w:val="007E6EEC"/>
    <w:rsid w:val="007E6EF4"/>
    <w:rsid w:val="007E749F"/>
    <w:rsid w:val="007E7518"/>
    <w:rsid w:val="007E7992"/>
    <w:rsid w:val="007F06C3"/>
    <w:rsid w:val="007F1A4E"/>
    <w:rsid w:val="007F1BA8"/>
    <w:rsid w:val="007F3818"/>
    <w:rsid w:val="007F578D"/>
    <w:rsid w:val="00800220"/>
    <w:rsid w:val="00800766"/>
    <w:rsid w:val="008020A2"/>
    <w:rsid w:val="00803407"/>
    <w:rsid w:val="00803E61"/>
    <w:rsid w:val="0080426D"/>
    <w:rsid w:val="008060EC"/>
    <w:rsid w:val="00806CF3"/>
    <w:rsid w:val="00812B14"/>
    <w:rsid w:val="008130C2"/>
    <w:rsid w:val="00813274"/>
    <w:rsid w:val="00814432"/>
    <w:rsid w:val="00817E45"/>
    <w:rsid w:val="0082181C"/>
    <w:rsid w:val="00821AA7"/>
    <w:rsid w:val="0082280F"/>
    <w:rsid w:val="00822918"/>
    <w:rsid w:val="00823B31"/>
    <w:rsid w:val="00823C26"/>
    <w:rsid w:val="008247E5"/>
    <w:rsid w:val="00827833"/>
    <w:rsid w:val="00832C57"/>
    <w:rsid w:val="008358B6"/>
    <w:rsid w:val="00836128"/>
    <w:rsid w:val="008370F9"/>
    <w:rsid w:val="008408C2"/>
    <w:rsid w:val="00841AE0"/>
    <w:rsid w:val="00843DC3"/>
    <w:rsid w:val="00843F26"/>
    <w:rsid w:val="008451A6"/>
    <w:rsid w:val="00850B2E"/>
    <w:rsid w:val="00850B99"/>
    <w:rsid w:val="008536F3"/>
    <w:rsid w:val="00855247"/>
    <w:rsid w:val="00857EF7"/>
    <w:rsid w:val="00860585"/>
    <w:rsid w:val="008634FB"/>
    <w:rsid w:val="00863F8D"/>
    <w:rsid w:val="0086400F"/>
    <w:rsid w:val="00866868"/>
    <w:rsid w:val="008674CC"/>
    <w:rsid w:val="00867595"/>
    <w:rsid w:val="00867837"/>
    <w:rsid w:val="008707AA"/>
    <w:rsid w:val="00870E80"/>
    <w:rsid w:val="00873469"/>
    <w:rsid w:val="00873B44"/>
    <w:rsid w:val="008747E6"/>
    <w:rsid w:val="008750F5"/>
    <w:rsid w:val="00875B4A"/>
    <w:rsid w:val="008826B1"/>
    <w:rsid w:val="00883AB4"/>
    <w:rsid w:val="0088440C"/>
    <w:rsid w:val="00884BDC"/>
    <w:rsid w:val="00887D1F"/>
    <w:rsid w:val="0089518B"/>
    <w:rsid w:val="008956F4"/>
    <w:rsid w:val="00895E12"/>
    <w:rsid w:val="00896F3C"/>
    <w:rsid w:val="00897229"/>
    <w:rsid w:val="008A07C5"/>
    <w:rsid w:val="008A096D"/>
    <w:rsid w:val="008A3662"/>
    <w:rsid w:val="008A3666"/>
    <w:rsid w:val="008B0026"/>
    <w:rsid w:val="008B08ED"/>
    <w:rsid w:val="008B0A80"/>
    <w:rsid w:val="008B31C0"/>
    <w:rsid w:val="008B3259"/>
    <w:rsid w:val="008B350B"/>
    <w:rsid w:val="008B61C5"/>
    <w:rsid w:val="008C0554"/>
    <w:rsid w:val="008C1569"/>
    <w:rsid w:val="008C19D7"/>
    <w:rsid w:val="008C4FD6"/>
    <w:rsid w:val="008C5357"/>
    <w:rsid w:val="008C681B"/>
    <w:rsid w:val="008C6C9E"/>
    <w:rsid w:val="008C6DFE"/>
    <w:rsid w:val="008D0BD0"/>
    <w:rsid w:val="008D29E6"/>
    <w:rsid w:val="008D3AF5"/>
    <w:rsid w:val="008D5BB4"/>
    <w:rsid w:val="008D6B35"/>
    <w:rsid w:val="008D7B0F"/>
    <w:rsid w:val="008E3705"/>
    <w:rsid w:val="008E474D"/>
    <w:rsid w:val="008E5E7B"/>
    <w:rsid w:val="008E60D7"/>
    <w:rsid w:val="008F3208"/>
    <w:rsid w:val="008F49F1"/>
    <w:rsid w:val="008F6892"/>
    <w:rsid w:val="008F69FF"/>
    <w:rsid w:val="009029A7"/>
    <w:rsid w:val="00903B2A"/>
    <w:rsid w:val="00905064"/>
    <w:rsid w:val="00905CA6"/>
    <w:rsid w:val="009062EF"/>
    <w:rsid w:val="0090632E"/>
    <w:rsid w:val="009076DC"/>
    <w:rsid w:val="00910148"/>
    <w:rsid w:val="0092020C"/>
    <w:rsid w:val="009206FC"/>
    <w:rsid w:val="00920786"/>
    <w:rsid w:val="0092103F"/>
    <w:rsid w:val="009216B8"/>
    <w:rsid w:val="009228D1"/>
    <w:rsid w:val="009228DC"/>
    <w:rsid w:val="00922C7C"/>
    <w:rsid w:val="00923F81"/>
    <w:rsid w:val="00924C22"/>
    <w:rsid w:val="00925448"/>
    <w:rsid w:val="009254A6"/>
    <w:rsid w:val="00925C90"/>
    <w:rsid w:val="00926552"/>
    <w:rsid w:val="00926BD8"/>
    <w:rsid w:val="0092769D"/>
    <w:rsid w:val="00930AE6"/>
    <w:rsid w:val="009325AB"/>
    <w:rsid w:val="0093293E"/>
    <w:rsid w:val="009330A1"/>
    <w:rsid w:val="00934295"/>
    <w:rsid w:val="00937264"/>
    <w:rsid w:val="0093755D"/>
    <w:rsid w:val="00940087"/>
    <w:rsid w:val="00940328"/>
    <w:rsid w:val="00943E56"/>
    <w:rsid w:val="009444C1"/>
    <w:rsid w:val="009458A7"/>
    <w:rsid w:val="00946EFA"/>
    <w:rsid w:val="0094740B"/>
    <w:rsid w:val="0095288D"/>
    <w:rsid w:val="009530F1"/>
    <w:rsid w:val="009538FE"/>
    <w:rsid w:val="009619BA"/>
    <w:rsid w:val="00961EBE"/>
    <w:rsid w:val="00962DF0"/>
    <w:rsid w:val="009649E5"/>
    <w:rsid w:val="00965D00"/>
    <w:rsid w:val="00966D6D"/>
    <w:rsid w:val="00970998"/>
    <w:rsid w:val="0097193C"/>
    <w:rsid w:val="00972555"/>
    <w:rsid w:val="0097344D"/>
    <w:rsid w:val="009773BE"/>
    <w:rsid w:val="009800E9"/>
    <w:rsid w:val="00980182"/>
    <w:rsid w:val="00981631"/>
    <w:rsid w:val="00987560"/>
    <w:rsid w:val="00987FF5"/>
    <w:rsid w:val="00994FB5"/>
    <w:rsid w:val="00995930"/>
    <w:rsid w:val="00995AC0"/>
    <w:rsid w:val="009966DB"/>
    <w:rsid w:val="0099777E"/>
    <w:rsid w:val="009A0EAE"/>
    <w:rsid w:val="009A1327"/>
    <w:rsid w:val="009A1CCD"/>
    <w:rsid w:val="009A3A85"/>
    <w:rsid w:val="009A5F44"/>
    <w:rsid w:val="009A6C58"/>
    <w:rsid w:val="009B121E"/>
    <w:rsid w:val="009B2661"/>
    <w:rsid w:val="009B29DB"/>
    <w:rsid w:val="009B338C"/>
    <w:rsid w:val="009B359A"/>
    <w:rsid w:val="009B57CE"/>
    <w:rsid w:val="009B6199"/>
    <w:rsid w:val="009C261D"/>
    <w:rsid w:val="009C2859"/>
    <w:rsid w:val="009C3587"/>
    <w:rsid w:val="009C401D"/>
    <w:rsid w:val="009C57C5"/>
    <w:rsid w:val="009D1A99"/>
    <w:rsid w:val="009D1B78"/>
    <w:rsid w:val="009D2BFE"/>
    <w:rsid w:val="009D4367"/>
    <w:rsid w:val="009D58BE"/>
    <w:rsid w:val="009E0D56"/>
    <w:rsid w:val="009E1EC0"/>
    <w:rsid w:val="009E3FF3"/>
    <w:rsid w:val="009E6B17"/>
    <w:rsid w:val="009E7C1A"/>
    <w:rsid w:val="009F0051"/>
    <w:rsid w:val="009F10FD"/>
    <w:rsid w:val="009F2635"/>
    <w:rsid w:val="009F380A"/>
    <w:rsid w:val="009F5A56"/>
    <w:rsid w:val="009F6AB6"/>
    <w:rsid w:val="009F6F5E"/>
    <w:rsid w:val="00A008E7"/>
    <w:rsid w:val="00A0111D"/>
    <w:rsid w:val="00A04250"/>
    <w:rsid w:val="00A04D49"/>
    <w:rsid w:val="00A06398"/>
    <w:rsid w:val="00A066A7"/>
    <w:rsid w:val="00A06A43"/>
    <w:rsid w:val="00A06BA3"/>
    <w:rsid w:val="00A06F0C"/>
    <w:rsid w:val="00A07210"/>
    <w:rsid w:val="00A11059"/>
    <w:rsid w:val="00A1214D"/>
    <w:rsid w:val="00A15A68"/>
    <w:rsid w:val="00A15F4E"/>
    <w:rsid w:val="00A166F7"/>
    <w:rsid w:val="00A17A50"/>
    <w:rsid w:val="00A209D1"/>
    <w:rsid w:val="00A213EE"/>
    <w:rsid w:val="00A21F4B"/>
    <w:rsid w:val="00A25D65"/>
    <w:rsid w:val="00A270FC"/>
    <w:rsid w:val="00A300C2"/>
    <w:rsid w:val="00A30746"/>
    <w:rsid w:val="00A3289A"/>
    <w:rsid w:val="00A34534"/>
    <w:rsid w:val="00A35154"/>
    <w:rsid w:val="00A37318"/>
    <w:rsid w:val="00A376DD"/>
    <w:rsid w:val="00A3796F"/>
    <w:rsid w:val="00A37E4E"/>
    <w:rsid w:val="00A40257"/>
    <w:rsid w:val="00A4105A"/>
    <w:rsid w:val="00A42A3A"/>
    <w:rsid w:val="00A43FE8"/>
    <w:rsid w:val="00A44FF4"/>
    <w:rsid w:val="00A464E9"/>
    <w:rsid w:val="00A47E41"/>
    <w:rsid w:val="00A51B01"/>
    <w:rsid w:val="00A51FC4"/>
    <w:rsid w:val="00A52196"/>
    <w:rsid w:val="00A52594"/>
    <w:rsid w:val="00A53FA9"/>
    <w:rsid w:val="00A601E3"/>
    <w:rsid w:val="00A60506"/>
    <w:rsid w:val="00A6143D"/>
    <w:rsid w:val="00A632A0"/>
    <w:rsid w:val="00A6477D"/>
    <w:rsid w:val="00A65FFB"/>
    <w:rsid w:val="00A66A78"/>
    <w:rsid w:val="00A675DE"/>
    <w:rsid w:val="00A7050D"/>
    <w:rsid w:val="00A71EB6"/>
    <w:rsid w:val="00A71EE2"/>
    <w:rsid w:val="00A73309"/>
    <w:rsid w:val="00A74EB4"/>
    <w:rsid w:val="00A76F47"/>
    <w:rsid w:val="00A777E7"/>
    <w:rsid w:val="00A77CB8"/>
    <w:rsid w:val="00A815AD"/>
    <w:rsid w:val="00A82014"/>
    <w:rsid w:val="00A86955"/>
    <w:rsid w:val="00A875EE"/>
    <w:rsid w:val="00A87C81"/>
    <w:rsid w:val="00A903F2"/>
    <w:rsid w:val="00A90873"/>
    <w:rsid w:val="00A908D8"/>
    <w:rsid w:val="00A91A26"/>
    <w:rsid w:val="00A91E0F"/>
    <w:rsid w:val="00A9280C"/>
    <w:rsid w:val="00A939C5"/>
    <w:rsid w:val="00A94663"/>
    <w:rsid w:val="00A95354"/>
    <w:rsid w:val="00A96AF0"/>
    <w:rsid w:val="00A970F8"/>
    <w:rsid w:val="00A9776D"/>
    <w:rsid w:val="00AA018D"/>
    <w:rsid w:val="00AA03D8"/>
    <w:rsid w:val="00AA09F2"/>
    <w:rsid w:val="00AA56EB"/>
    <w:rsid w:val="00AA5A88"/>
    <w:rsid w:val="00AA69DA"/>
    <w:rsid w:val="00AA7718"/>
    <w:rsid w:val="00AB0ED9"/>
    <w:rsid w:val="00AB3C31"/>
    <w:rsid w:val="00AB3DC3"/>
    <w:rsid w:val="00AB4196"/>
    <w:rsid w:val="00AB41B8"/>
    <w:rsid w:val="00AB4C1B"/>
    <w:rsid w:val="00AB4E72"/>
    <w:rsid w:val="00AB6EFA"/>
    <w:rsid w:val="00AB734A"/>
    <w:rsid w:val="00AB7477"/>
    <w:rsid w:val="00AB794A"/>
    <w:rsid w:val="00AC05BB"/>
    <w:rsid w:val="00AD3B1E"/>
    <w:rsid w:val="00AD4A3C"/>
    <w:rsid w:val="00AD6260"/>
    <w:rsid w:val="00AD6366"/>
    <w:rsid w:val="00AD6C03"/>
    <w:rsid w:val="00AD738B"/>
    <w:rsid w:val="00AE1E6A"/>
    <w:rsid w:val="00AE2570"/>
    <w:rsid w:val="00AE29E3"/>
    <w:rsid w:val="00AE5236"/>
    <w:rsid w:val="00AE607A"/>
    <w:rsid w:val="00AE73EE"/>
    <w:rsid w:val="00AE77AB"/>
    <w:rsid w:val="00AE7990"/>
    <w:rsid w:val="00AF19F7"/>
    <w:rsid w:val="00AF1AFF"/>
    <w:rsid w:val="00AF22F5"/>
    <w:rsid w:val="00AF2E30"/>
    <w:rsid w:val="00AF3B08"/>
    <w:rsid w:val="00AF67BE"/>
    <w:rsid w:val="00B04CFC"/>
    <w:rsid w:val="00B05F3E"/>
    <w:rsid w:val="00B07556"/>
    <w:rsid w:val="00B111AD"/>
    <w:rsid w:val="00B11251"/>
    <w:rsid w:val="00B11C5A"/>
    <w:rsid w:val="00B12BDF"/>
    <w:rsid w:val="00B135ED"/>
    <w:rsid w:val="00B157C3"/>
    <w:rsid w:val="00B15B16"/>
    <w:rsid w:val="00B15C11"/>
    <w:rsid w:val="00B1791F"/>
    <w:rsid w:val="00B202B1"/>
    <w:rsid w:val="00B206F4"/>
    <w:rsid w:val="00B20A7A"/>
    <w:rsid w:val="00B21590"/>
    <w:rsid w:val="00B21D74"/>
    <w:rsid w:val="00B22452"/>
    <w:rsid w:val="00B233E9"/>
    <w:rsid w:val="00B24C7C"/>
    <w:rsid w:val="00B24C8F"/>
    <w:rsid w:val="00B25CC1"/>
    <w:rsid w:val="00B26EAC"/>
    <w:rsid w:val="00B35212"/>
    <w:rsid w:val="00B369B0"/>
    <w:rsid w:val="00B407A9"/>
    <w:rsid w:val="00B410A8"/>
    <w:rsid w:val="00B4112E"/>
    <w:rsid w:val="00B41A76"/>
    <w:rsid w:val="00B435A2"/>
    <w:rsid w:val="00B43FA1"/>
    <w:rsid w:val="00B44A1A"/>
    <w:rsid w:val="00B4568E"/>
    <w:rsid w:val="00B46272"/>
    <w:rsid w:val="00B468AB"/>
    <w:rsid w:val="00B46CE4"/>
    <w:rsid w:val="00B515B9"/>
    <w:rsid w:val="00B51638"/>
    <w:rsid w:val="00B51F8E"/>
    <w:rsid w:val="00B52F0C"/>
    <w:rsid w:val="00B5358C"/>
    <w:rsid w:val="00B5372A"/>
    <w:rsid w:val="00B53BAA"/>
    <w:rsid w:val="00B53BF3"/>
    <w:rsid w:val="00B57FAC"/>
    <w:rsid w:val="00B62680"/>
    <w:rsid w:val="00B63CC1"/>
    <w:rsid w:val="00B66131"/>
    <w:rsid w:val="00B67027"/>
    <w:rsid w:val="00B7337E"/>
    <w:rsid w:val="00B73494"/>
    <w:rsid w:val="00B7437B"/>
    <w:rsid w:val="00B74665"/>
    <w:rsid w:val="00B77B93"/>
    <w:rsid w:val="00B77FAA"/>
    <w:rsid w:val="00B802EB"/>
    <w:rsid w:val="00B81D68"/>
    <w:rsid w:val="00B8307F"/>
    <w:rsid w:val="00B8400E"/>
    <w:rsid w:val="00B84824"/>
    <w:rsid w:val="00B853A8"/>
    <w:rsid w:val="00B85CE7"/>
    <w:rsid w:val="00B8739A"/>
    <w:rsid w:val="00B87AC8"/>
    <w:rsid w:val="00B918B6"/>
    <w:rsid w:val="00B91EC5"/>
    <w:rsid w:val="00BA0976"/>
    <w:rsid w:val="00BA1DB8"/>
    <w:rsid w:val="00BA3950"/>
    <w:rsid w:val="00BA4160"/>
    <w:rsid w:val="00BA6383"/>
    <w:rsid w:val="00BA79B7"/>
    <w:rsid w:val="00BB00DE"/>
    <w:rsid w:val="00BB0D37"/>
    <w:rsid w:val="00BB0F0B"/>
    <w:rsid w:val="00BB1007"/>
    <w:rsid w:val="00BB1C35"/>
    <w:rsid w:val="00BB21AD"/>
    <w:rsid w:val="00BB60F9"/>
    <w:rsid w:val="00BB745E"/>
    <w:rsid w:val="00BC1D5D"/>
    <w:rsid w:val="00BC2E52"/>
    <w:rsid w:val="00BC3D21"/>
    <w:rsid w:val="00BC553A"/>
    <w:rsid w:val="00BC629A"/>
    <w:rsid w:val="00BC6F2A"/>
    <w:rsid w:val="00BC784F"/>
    <w:rsid w:val="00BD028D"/>
    <w:rsid w:val="00BD06C8"/>
    <w:rsid w:val="00BD1DDD"/>
    <w:rsid w:val="00BD2CAE"/>
    <w:rsid w:val="00BD37A5"/>
    <w:rsid w:val="00BD55E8"/>
    <w:rsid w:val="00BD56C0"/>
    <w:rsid w:val="00BD5D9F"/>
    <w:rsid w:val="00BD6F8A"/>
    <w:rsid w:val="00BD70F7"/>
    <w:rsid w:val="00BD71D2"/>
    <w:rsid w:val="00BE1C04"/>
    <w:rsid w:val="00BE270F"/>
    <w:rsid w:val="00BE2952"/>
    <w:rsid w:val="00BE6EB6"/>
    <w:rsid w:val="00BE7F51"/>
    <w:rsid w:val="00BF1505"/>
    <w:rsid w:val="00BF213C"/>
    <w:rsid w:val="00BF2681"/>
    <w:rsid w:val="00BF2A3F"/>
    <w:rsid w:val="00BF2A5F"/>
    <w:rsid w:val="00BF3A0B"/>
    <w:rsid w:val="00BF3C54"/>
    <w:rsid w:val="00BF46E4"/>
    <w:rsid w:val="00BF4E53"/>
    <w:rsid w:val="00BF6F0F"/>
    <w:rsid w:val="00C00C0F"/>
    <w:rsid w:val="00C01913"/>
    <w:rsid w:val="00C02B80"/>
    <w:rsid w:val="00C0585A"/>
    <w:rsid w:val="00C05B26"/>
    <w:rsid w:val="00C07594"/>
    <w:rsid w:val="00C1000D"/>
    <w:rsid w:val="00C10F7E"/>
    <w:rsid w:val="00C11FA0"/>
    <w:rsid w:val="00C12CED"/>
    <w:rsid w:val="00C12E34"/>
    <w:rsid w:val="00C1355F"/>
    <w:rsid w:val="00C149F2"/>
    <w:rsid w:val="00C15117"/>
    <w:rsid w:val="00C17BA6"/>
    <w:rsid w:val="00C213FC"/>
    <w:rsid w:val="00C22FBD"/>
    <w:rsid w:val="00C2475E"/>
    <w:rsid w:val="00C25DAB"/>
    <w:rsid w:val="00C25E03"/>
    <w:rsid w:val="00C266D6"/>
    <w:rsid w:val="00C26806"/>
    <w:rsid w:val="00C27B5F"/>
    <w:rsid w:val="00C3063C"/>
    <w:rsid w:val="00C32B71"/>
    <w:rsid w:val="00C337D7"/>
    <w:rsid w:val="00C338A4"/>
    <w:rsid w:val="00C3537E"/>
    <w:rsid w:val="00C35DD4"/>
    <w:rsid w:val="00C411D0"/>
    <w:rsid w:val="00C44465"/>
    <w:rsid w:val="00C4463A"/>
    <w:rsid w:val="00C51753"/>
    <w:rsid w:val="00C52351"/>
    <w:rsid w:val="00C52F35"/>
    <w:rsid w:val="00C5387A"/>
    <w:rsid w:val="00C53B0F"/>
    <w:rsid w:val="00C570E8"/>
    <w:rsid w:val="00C60FE2"/>
    <w:rsid w:val="00C6175D"/>
    <w:rsid w:val="00C61DF3"/>
    <w:rsid w:val="00C62EC6"/>
    <w:rsid w:val="00C63EDE"/>
    <w:rsid w:val="00C65D28"/>
    <w:rsid w:val="00C6654D"/>
    <w:rsid w:val="00C677EA"/>
    <w:rsid w:val="00C70B8B"/>
    <w:rsid w:val="00C739C3"/>
    <w:rsid w:val="00C73BF6"/>
    <w:rsid w:val="00C75855"/>
    <w:rsid w:val="00C770BB"/>
    <w:rsid w:val="00C77C63"/>
    <w:rsid w:val="00C77E3F"/>
    <w:rsid w:val="00C80A92"/>
    <w:rsid w:val="00C819DB"/>
    <w:rsid w:val="00C81FC6"/>
    <w:rsid w:val="00C84578"/>
    <w:rsid w:val="00C85178"/>
    <w:rsid w:val="00C877D8"/>
    <w:rsid w:val="00C92ED9"/>
    <w:rsid w:val="00C95C3A"/>
    <w:rsid w:val="00C97CD0"/>
    <w:rsid w:val="00CA1532"/>
    <w:rsid w:val="00CA38C7"/>
    <w:rsid w:val="00CA3DF2"/>
    <w:rsid w:val="00CA5373"/>
    <w:rsid w:val="00CB12F4"/>
    <w:rsid w:val="00CB4331"/>
    <w:rsid w:val="00CB43B7"/>
    <w:rsid w:val="00CB4A83"/>
    <w:rsid w:val="00CB594F"/>
    <w:rsid w:val="00CB5972"/>
    <w:rsid w:val="00CB796C"/>
    <w:rsid w:val="00CC34F4"/>
    <w:rsid w:val="00CC3761"/>
    <w:rsid w:val="00CC53C6"/>
    <w:rsid w:val="00CD0AB2"/>
    <w:rsid w:val="00CD1F0A"/>
    <w:rsid w:val="00CD224D"/>
    <w:rsid w:val="00CD5A03"/>
    <w:rsid w:val="00CD7BCC"/>
    <w:rsid w:val="00CD7CF2"/>
    <w:rsid w:val="00CD7E27"/>
    <w:rsid w:val="00CE0D29"/>
    <w:rsid w:val="00CE0E5C"/>
    <w:rsid w:val="00CE16DC"/>
    <w:rsid w:val="00CF0D0B"/>
    <w:rsid w:val="00CF1510"/>
    <w:rsid w:val="00CF19C8"/>
    <w:rsid w:val="00CF4821"/>
    <w:rsid w:val="00CF5C4F"/>
    <w:rsid w:val="00CF77D9"/>
    <w:rsid w:val="00D017BB"/>
    <w:rsid w:val="00D0195B"/>
    <w:rsid w:val="00D031A4"/>
    <w:rsid w:val="00D03427"/>
    <w:rsid w:val="00D10121"/>
    <w:rsid w:val="00D13CD5"/>
    <w:rsid w:val="00D13F46"/>
    <w:rsid w:val="00D171CA"/>
    <w:rsid w:val="00D221E9"/>
    <w:rsid w:val="00D2247E"/>
    <w:rsid w:val="00D22E0C"/>
    <w:rsid w:val="00D23388"/>
    <w:rsid w:val="00D241A3"/>
    <w:rsid w:val="00D248A6"/>
    <w:rsid w:val="00D26C17"/>
    <w:rsid w:val="00D305E2"/>
    <w:rsid w:val="00D34B8A"/>
    <w:rsid w:val="00D354CC"/>
    <w:rsid w:val="00D35D94"/>
    <w:rsid w:val="00D35E50"/>
    <w:rsid w:val="00D4256E"/>
    <w:rsid w:val="00D440B7"/>
    <w:rsid w:val="00D4445C"/>
    <w:rsid w:val="00D465BE"/>
    <w:rsid w:val="00D478AC"/>
    <w:rsid w:val="00D5098C"/>
    <w:rsid w:val="00D50FBF"/>
    <w:rsid w:val="00D512A1"/>
    <w:rsid w:val="00D51827"/>
    <w:rsid w:val="00D51888"/>
    <w:rsid w:val="00D53784"/>
    <w:rsid w:val="00D571AE"/>
    <w:rsid w:val="00D61B33"/>
    <w:rsid w:val="00D6443D"/>
    <w:rsid w:val="00D717E7"/>
    <w:rsid w:val="00D71E58"/>
    <w:rsid w:val="00D722A9"/>
    <w:rsid w:val="00D7259A"/>
    <w:rsid w:val="00D72F6E"/>
    <w:rsid w:val="00D730BD"/>
    <w:rsid w:val="00D73190"/>
    <w:rsid w:val="00D732AE"/>
    <w:rsid w:val="00D734C6"/>
    <w:rsid w:val="00D75029"/>
    <w:rsid w:val="00D75559"/>
    <w:rsid w:val="00D767D8"/>
    <w:rsid w:val="00D7750C"/>
    <w:rsid w:val="00D77642"/>
    <w:rsid w:val="00D77EDC"/>
    <w:rsid w:val="00D80746"/>
    <w:rsid w:val="00D817A2"/>
    <w:rsid w:val="00D82A17"/>
    <w:rsid w:val="00D82DD0"/>
    <w:rsid w:val="00D86FE4"/>
    <w:rsid w:val="00D90795"/>
    <w:rsid w:val="00D94F82"/>
    <w:rsid w:val="00D9579B"/>
    <w:rsid w:val="00DA05EF"/>
    <w:rsid w:val="00DA27AB"/>
    <w:rsid w:val="00DA405A"/>
    <w:rsid w:val="00DA563C"/>
    <w:rsid w:val="00DA6866"/>
    <w:rsid w:val="00DA693B"/>
    <w:rsid w:val="00DA6CF2"/>
    <w:rsid w:val="00DB146A"/>
    <w:rsid w:val="00DB225F"/>
    <w:rsid w:val="00DB27FC"/>
    <w:rsid w:val="00DB3729"/>
    <w:rsid w:val="00DB51D4"/>
    <w:rsid w:val="00DB55A9"/>
    <w:rsid w:val="00DB7AD5"/>
    <w:rsid w:val="00DC0A36"/>
    <w:rsid w:val="00DC2C86"/>
    <w:rsid w:val="00DC6B20"/>
    <w:rsid w:val="00DC7401"/>
    <w:rsid w:val="00DD16A0"/>
    <w:rsid w:val="00DD1E00"/>
    <w:rsid w:val="00DD3215"/>
    <w:rsid w:val="00DD3717"/>
    <w:rsid w:val="00DD44C0"/>
    <w:rsid w:val="00DD4DAD"/>
    <w:rsid w:val="00DD62F8"/>
    <w:rsid w:val="00DD707C"/>
    <w:rsid w:val="00DE0593"/>
    <w:rsid w:val="00DE27BE"/>
    <w:rsid w:val="00DE2D2D"/>
    <w:rsid w:val="00DE5952"/>
    <w:rsid w:val="00DE666F"/>
    <w:rsid w:val="00DE7A2A"/>
    <w:rsid w:val="00DF02F2"/>
    <w:rsid w:val="00DF0C53"/>
    <w:rsid w:val="00DF2E84"/>
    <w:rsid w:val="00DF3F83"/>
    <w:rsid w:val="00DF61A1"/>
    <w:rsid w:val="00DF6BFC"/>
    <w:rsid w:val="00E019B3"/>
    <w:rsid w:val="00E022D5"/>
    <w:rsid w:val="00E03D05"/>
    <w:rsid w:val="00E045F7"/>
    <w:rsid w:val="00E05D21"/>
    <w:rsid w:val="00E10229"/>
    <w:rsid w:val="00E10B94"/>
    <w:rsid w:val="00E1425E"/>
    <w:rsid w:val="00E15164"/>
    <w:rsid w:val="00E20B39"/>
    <w:rsid w:val="00E21C9D"/>
    <w:rsid w:val="00E21D75"/>
    <w:rsid w:val="00E22472"/>
    <w:rsid w:val="00E23245"/>
    <w:rsid w:val="00E23A9F"/>
    <w:rsid w:val="00E2462F"/>
    <w:rsid w:val="00E250DF"/>
    <w:rsid w:val="00E2533D"/>
    <w:rsid w:val="00E279CF"/>
    <w:rsid w:val="00E30A4A"/>
    <w:rsid w:val="00E33A06"/>
    <w:rsid w:val="00E407CA"/>
    <w:rsid w:val="00E40B28"/>
    <w:rsid w:val="00E433B5"/>
    <w:rsid w:val="00E438BE"/>
    <w:rsid w:val="00E50B54"/>
    <w:rsid w:val="00E51231"/>
    <w:rsid w:val="00E5131F"/>
    <w:rsid w:val="00E519C8"/>
    <w:rsid w:val="00E51A1C"/>
    <w:rsid w:val="00E51AC2"/>
    <w:rsid w:val="00E52891"/>
    <w:rsid w:val="00E529C9"/>
    <w:rsid w:val="00E537EF"/>
    <w:rsid w:val="00E53BB9"/>
    <w:rsid w:val="00E54590"/>
    <w:rsid w:val="00E563F1"/>
    <w:rsid w:val="00E5678E"/>
    <w:rsid w:val="00E56812"/>
    <w:rsid w:val="00E57F43"/>
    <w:rsid w:val="00E603A8"/>
    <w:rsid w:val="00E60B9B"/>
    <w:rsid w:val="00E61B34"/>
    <w:rsid w:val="00E640F6"/>
    <w:rsid w:val="00E64387"/>
    <w:rsid w:val="00E65B5C"/>
    <w:rsid w:val="00E66628"/>
    <w:rsid w:val="00E66AA1"/>
    <w:rsid w:val="00E676B5"/>
    <w:rsid w:val="00E72D29"/>
    <w:rsid w:val="00E740AB"/>
    <w:rsid w:val="00E76078"/>
    <w:rsid w:val="00E7624C"/>
    <w:rsid w:val="00E77648"/>
    <w:rsid w:val="00E77AC5"/>
    <w:rsid w:val="00E8119B"/>
    <w:rsid w:val="00E818FF"/>
    <w:rsid w:val="00E8530D"/>
    <w:rsid w:val="00E9160A"/>
    <w:rsid w:val="00E9186F"/>
    <w:rsid w:val="00E91FB9"/>
    <w:rsid w:val="00E92BC2"/>
    <w:rsid w:val="00E92DE4"/>
    <w:rsid w:val="00E92FF1"/>
    <w:rsid w:val="00E9407E"/>
    <w:rsid w:val="00EA104B"/>
    <w:rsid w:val="00EA1D0D"/>
    <w:rsid w:val="00EA2D6E"/>
    <w:rsid w:val="00EA33FC"/>
    <w:rsid w:val="00EA7796"/>
    <w:rsid w:val="00EB0A82"/>
    <w:rsid w:val="00EB1CAB"/>
    <w:rsid w:val="00EB309E"/>
    <w:rsid w:val="00EB4608"/>
    <w:rsid w:val="00EB5079"/>
    <w:rsid w:val="00EB5359"/>
    <w:rsid w:val="00EC346F"/>
    <w:rsid w:val="00EC3E35"/>
    <w:rsid w:val="00EC584E"/>
    <w:rsid w:val="00EC5CDC"/>
    <w:rsid w:val="00EC61CB"/>
    <w:rsid w:val="00EC6E0D"/>
    <w:rsid w:val="00ED5F06"/>
    <w:rsid w:val="00ED6E8E"/>
    <w:rsid w:val="00ED7FB7"/>
    <w:rsid w:val="00EE0332"/>
    <w:rsid w:val="00EE0424"/>
    <w:rsid w:val="00EE24AC"/>
    <w:rsid w:val="00EE6F1B"/>
    <w:rsid w:val="00EE746B"/>
    <w:rsid w:val="00EF1367"/>
    <w:rsid w:val="00EF1A91"/>
    <w:rsid w:val="00EF2230"/>
    <w:rsid w:val="00EF3CDD"/>
    <w:rsid w:val="00EF4FE4"/>
    <w:rsid w:val="00EF6366"/>
    <w:rsid w:val="00EF6FF3"/>
    <w:rsid w:val="00EF74AE"/>
    <w:rsid w:val="00EF7E94"/>
    <w:rsid w:val="00F019A9"/>
    <w:rsid w:val="00F01F0E"/>
    <w:rsid w:val="00F04A1F"/>
    <w:rsid w:val="00F05977"/>
    <w:rsid w:val="00F10C46"/>
    <w:rsid w:val="00F10D61"/>
    <w:rsid w:val="00F114D9"/>
    <w:rsid w:val="00F158F4"/>
    <w:rsid w:val="00F167B3"/>
    <w:rsid w:val="00F17615"/>
    <w:rsid w:val="00F21015"/>
    <w:rsid w:val="00F21B4F"/>
    <w:rsid w:val="00F21EF5"/>
    <w:rsid w:val="00F24AF3"/>
    <w:rsid w:val="00F2689D"/>
    <w:rsid w:val="00F3040F"/>
    <w:rsid w:val="00F34456"/>
    <w:rsid w:val="00F35980"/>
    <w:rsid w:val="00F36400"/>
    <w:rsid w:val="00F36AE4"/>
    <w:rsid w:val="00F371C5"/>
    <w:rsid w:val="00F37481"/>
    <w:rsid w:val="00F37521"/>
    <w:rsid w:val="00F40B9A"/>
    <w:rsid w:val="00F50A95"/>
    <w:rsid w:val="00F510BB"/>
    <w:rsid w:val="00F51AC0"/>
    <w:rsid w:val="00F51D81"/>
    <w:rsid w:val="00F53421"/>
    <w:rsid w:val="00F5405E"/>
    <w:rsid w:val="00F56F41"/>
    <w:rsid w:val="00F61882"/>
    <w:rsid w:val="00F63B82"/>
    <w:rsid w:val="00F6604D"/>
    <w:rsid w:val="00F664A9"/>
    <w:rsid w:val="00F66647"/>
    <w:rsid w:val="00F668D5"/>
    <w:rsid w:val="00F70A2C"/>
    <w:rsid w:val="00F70A31"/>
    <w:rsid w:val="00F73741"/>
    <w:rsid w:val="00F74160"/>
    <w:rsid w:val="00F76305"/>
    <w:rsid w:val="00F8075E"/>
    <w:rsid w:val="00F81B3A"/>
    <w:rsid w:val="00F81C6D"/>
    <w:rsid w:val="00F82406"/>
    <w:rsid w:val="00F84454"/>
    <w:rsid w:val="00F84937"/>
    <w:rsid w:val="00F855D4"/>
    <w:rsid w:val="00F873BF"/>
    <w:rsid w:val="00F87824"/>
    <w:rsid w:val="00F90A29"/>
    <w:rsid w:val="00F90A70"/>
    <w:rsid w:val="00F90B5D"/>
    <w:rsid w:val="00F90CF3"/>
    <w:rsid w:val="00F915A6"/>
    <w:rsid w:val="00F92A3D"/>
    <w:rsid w:val="00F93740"/>
    <w:rsid w:val="00F95BE9"/>
    <w:rsid w:val="00F97F39"/>
    <w:rsid w:val="00FA25F7"/>
    <w:rsid w:val="00FA507C"/>
    <w:rsid w:val="00FA5187"/>
    <w:rsid w:val="00FA5578"/>
    <w:rsid w:val="00FA74A1"/>
    <w:rsid w:val="00FB1AD3"/>
    <w:rsid w:val="00FB3D8F"/>
    <w:rsid w:val="00FB500F"/>
    <w:rsid w:val="00FB54DF"/>
    <w:rsid w:val="00FB5BAE"/>
    <w:rsid w:val="00FB5D70"/>
    <w:rsid w:val="00FB67B3"/>
    <w:rsid w:val="00FB7605"/>
    <w:rsid w:val="00FB77A9"/>
    <w:rsid w:val="00FC1F6C"/>
    <w:rsid w:val="00FC23A4"/>
    <w:rsid w:val="00FC2851"/>
    <w:rsid w:val="00FC4333"/>
    <w:rsid w:val="00FC4DFE"/>
    <w:rsid w:val="00FC52A1"/>
    <w:rsid w:val="00FC6D4C"/>
    <w:rsid w:val="00FD136A"/>
    <w:rsid w:val="00FD160C"/>
    <w:rsid w:val="00FD38D0"/>
    <w:rsid w:val="00FD551E"/>
    <w:rsid w:val="00FD5841"/>
    <w:rsid w:val="00FD5C70"/>
    <w:rsid w:val="00FD7C48"/>
    <w:rsid w:val="00FE03FC"/>
    <w:rsid w:val="00FE08F1"/>
    <w:rsid w:val="00FE3BCB"/>
    <w:rsid w:val="00FE3CA7"/>
    <w:rsid w:val="00FE3EBB"/>
    <w:rsid w:val="00FE5EC8"/>
    <w:rsid w:val="00FE6E5F"/>
    <w:rsid w:val="00FF1F3B"/>
    <w:rsid w:val="00FF32A3"/>
    <w:rsid w:val="00FF56D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FC1A2C"/>
  <w15:docId w15:val="{939EAA99-167F-4B11-99C8-C5380415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F22F5"/>
    <w:pPr>
      <w:spacing w:before="120" w:after="120"/>
      <w:ind w:left="142"/>
      <w:jc w:val="both"/>
    </w:pPr>
    <w:rPr>
      <w:rFonts w:ascii="Arial" w:hAnsi="Arial" w:cs="Arial"/>
      <w:sz w:val="22"/>
    </w:rPr>
  </w:style>
  <w:style w:type="paragraph" w:styleId="Heading1">
    <w:name w:val="heading 1"/>
    <w:aliases w:val="Titre1 av num,(Titre),Niveau 1,Heading 1 CFMU,Chapitres,Partie"/>
    <w:basedOn w:val="Normal"/>
    <w:next w:val="Normal"/>
    <w:autoRedefine/>
    <w:qFormat/>
    <w:rsid w:val="005A0F27"/>
    <w:pPr>
      <w:keepNext/>
      <w:pageBreakBefore/>
      <w:numPr>
        <w:numId w:val="1"/>
      </w:numPr>
      <w:pBdr>
        <w:top w:val="single" w:sz="8" w:space="1" w:color="auto"/>
        <w:left w:val="single" w:sz="8" w:space="1" w:color="auto"/>
        <w:bottom w:val="single" w:sz="8" w:space="1" w:color="auto"/>
        <w:right w:val="single" w:sz="8" w:space="4" w:color="auto"/>
      </w:pBdr>
      <w:shd w:val="clear" w:color="auto" w:fill="D9D9D9"/>
      <w:overflowPunct w:val="0"/>
      <w:autoSpaceDE w:val="0"/>
      <w:autoSpaceDN w:val="0"/>
      <w:adjustRightInd w:val="0"/>
      <w:spacing w:after="400" w:line="360" w:lineRule="exact"/>
      <w:ind w:left="431" w:hanging="431"/>
      <w:jc w:val="center"/>
      <w:textAlignment w:val="baseline"/>
      <w:outlineLvl w:val="0"/>
    </w:pPr>
    <w:rPr>
      <w:caps/>
      <w:kern w:val="28"/>
      <w:sz w:val="36"/>
      <w:szCs w:val="28"/>
    </w:rPr>
  </w:style>
  <w:style w:type="paragraph" w:styleId="Heading2">
    <w:name w:val="heading 2"/>
    <w:aliases w:val="Titre 2 av num,(Sous-titre),Niveau 1 1,Heading 2 CFMU,Chapitre"/>
    <w:basedOn w:val="Normal"/>
    <w:next w:val="BodyText"/>
    <w:link w:val="Heading2Char"/>
    <w:autoRedefine/>
    <w:qFormat/>
    <w:rsid w:val="0065741C"/>
    <w:pPr>
      <w:keepNext/>
      <w:numPr>
        <w:ilvl w:val="1"/>
        <w:numId w:val="1"/>
      </w:numPr>
      <w:spacing w:before="60" w:after="240"/>
      <w:outlineLvl w:val="1"/>
    </w:pPr>
    <w:rPr>
      <w:rFonts w:ascii="Verdana" w:hAnsi="Verdana" w:cs="Times New Roman"/>
      <w:b/>
      <w:bCs/>
      <w:i/>
      <w:iCs/>
      <w:sz w:val="26"/>
      <w:szCs w:val="28"/>
      <w:lang w:eastAsia="en-US"/>
    </w:rPr>
  </w:style>
  <w:style w:type="paragraph" w:styleId="Heading3">
    <w:name w:val="heading 3"/>
    <w:aliases w:val="Titre 3 av num,(Inter- titre),Niveau 1 1 1,Heading 3 CFMU,Titre 3 Car,Titre 3 av num Car,(Inter- titre) Car,Niveau 1 1 1 Car,Heading 3 CFMU Car,Niveau 1.1,t3,h3,Section"/>
    <w:basedOn w:val="Normal"/>
    <w:next w:val="BodyText"/>
    <w:autoRedefine/>
    <w:qFormat/>
    <w:rsid w:val="00005D16"/>
    <w:pPr>
      <w:keepNext/>
      <w:numPr>
        <w:ilvl w:val="2"/>
        <w:numId w:val="1"/>
      </w:numPr>
      <w:tabs>
        <w:tab w:val="left" w:pos="851"/>
      </w:tabs>
      <w:autoSpaceDE w:val="0"/>
      <w:autoSpaceDN w:val="0"/>
      <w:adjustRightInd w:val="0"/>
      <w:spacing w:after="160"/>
      <w:outlineLvl w:val="2"/>
    </w:pPr>
    <w:rPr>
      <w:bCs/>
      <w:sz w:val="26"/>
      <w:szCs w:val="26"/>
      <w:u w:val="single"/>
    </w:rPr>
  </w:style>
  <w:style w:type="paragraph" w:styleId="Heading4">
    <w:name w:val="heading 4"/>
    <w:aliases w:val="Titre 4 av num,Niveau 1.1.1,Module"/>
    <w:basedOn w:val="Normal"/>
    <w:next w:val="Normal"/>
    <w:autoRedefine/>
    <w:qFormat/>
    <w:rsid w:val="00657050"/>
    <w:pPr>
      <w:numPr>
        <w:ilvl w:val="3"/>
        <w:numId w:val="1"/>
      </w:numPr>
      <w:tabs>
        <w:tab w:val="clear" w:pos="864"/>
        <w:tab w:val="left" w:pos="2340"/>
      </w:tabs>
      <w:overflowPunct w:val="0"/>
      <w:autoSpaceDE w:val="0"/>
      <w:autoSpaceDN w:val="0"/>
      <w:adjustRightInd w:val="0"/>
      <w:ind w:left="0" w:firstLine="1418"/>
      <w:textAlignment w:val="baseline"/>
      <w:outlineLvl w:val="3"/>
    </w:pPr>
    <w:rPr>
      <w:rFonts w:ascii="Calibri" w:hAnsi="Calibri"/>
      <w:bCs/>
      <w:i/>
      <w:noProof/>
      <w:sz w:val="24"/>
    </w:rPr>
  </w:style>
  <w:style w:type="paragraph" w:styleId="Heading9">
    <w:name w:val="heading 9"/>
    <w:basedOn w:val="Tableau-Corpsdetexte"/>
    <w:next w:val="Normal"/>
    <w:link w:val="Heading9Char"/>
    <w:qFormat/>
    <w:rsid w:val="00251D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Bis">
    <w:name w:val="Titre 1 Bis"/>
    <w:basedOn w:val="Heading1"/>
    <w:next w:val="Normal"/>
    <w:autoRedefine/>
    <w:rsid w:val="00AD738B"/>
    <w:pPr>
      <w:numPr>
        <w:numId w:val="0"/>
      </w:numPr>
    </w:pPr>
  </w:style>
  <w:style w:type="paragraph" w:styleId="TOC1">
    <w:name w:val="toc 1"/>
    <w:basedOn w:val="Normal"/>
    <w:next w:val="Normal"/>
    <w:autoRedefine/>
    <w:uiPriority w:val="39"/>
    <w:rsid w:val="005A1115"/>
    <w:pPr>
      <w:tabs>
        <w:tab w:val="left" w:pos="426"/>
        <w:tab w:val="right" w:leader="underscore" w:pos="14601"/>
      </w:tabs>
      <w:jc w:val="left"/>
    </w:pPr>
  </w:style>
  <w:style w:type="paragraph" w:customStyle="1" w:styleId="Entte1">
    <w:name w:val="Entête 1"/>
    <w:basedOn w:val="Normal"/>
    <w:next w:val="Normal"/>
    <w:link w:val="Entte1Car"/>
    <w:autoRedefine/>
    <w:rsid w:val="003063A1"/>
    <w:pPr>
      <w:spacing w:before="480" w:after="60"/>
      <w:ind w:left="215"/>
      <w:jc w:val="center"/>
    </w:pPr>
    <w:rPr>
      <w:rFonts w:ascii="Trebuchet MS" w:hAnsi="Trebuchet MS" w:cs="Times New Roman"/>
      <w:b/>
      <w:i/>
      <w:caps/>
      <w:sz w:val="28"/>
      <w:szCs w:val="48"/>
      <w:lang w:eastAsia="en-US"/>
    </w:rPr>
  </w:style>
  <w:style w:type="character" w:customStyle="1" w:styleId="Entte1Car">
    <w:name w:val="Entête 1 Car"/>
    <w:link w:val="Entte1"/>
    <w:rsid w:val="003063A1"/>
    <w:rPr>
      <w:rFonts w:ascii="Trebuchet MS" w:hAnsi="Trebuchet MS"/>
      <w:b/>
      <w:i/>
      <w:caps/>
      <w:sz w:val="28"/>
      <w:szCs w:val="48"/>
      <w:lang w:eastAsia="en-US"/>
    </w:rPr>
  </w:style>
  <w:style w:type="paragraph" w:customStyle="1" w:styleId="Entte2">
    <w:name w:val="Entête 2"/>
    <w:basedOn w:val="Normal"/>
    <w:next w:val="Normal"/>
    <w:link w:val="Entte2Car"/>
    <w:autoRedefine/>
    <w:rsid w:val="000324E5"/>
    <w:pPr>
      <w:spacing w:after="60"/>
    </w:pPr>
    <w:rPr>
      <w:rFonts w:ascii="Trebuchet MS" w:hAnsi="Trebuchet MS" w:cs="Times New Roman"/>
      <w:caps/>
      <w:sz w:val="52"/>
      <w:szCs w:val="52"/>
      <w:lang w:eastAsia="en-US"/>
    </w:rPr>
  </w:style>
  <w:style w:type="character" w:customStyle="1" w:styleId="Entte2Car">
    <w:name w:val="Entête 2 Car"/>
    <w:link w:val="Entte2"/>
    <w:rsid w:val="000324E5"/>
    <w:rPr>
      <w:rFonts w:ascii="Trebuchet MS" w:hAnsi="Trebuchet MS"/>
      <w:caps/>
      <w:sz w:val="52"/>
      <w:szCs w:val="52"/>
      <w:lang w:eastAsia="en-US"/>
    </w:rPr>
  </w:style>
  <w:style w:type="paragraph" w:customStyle="1" w:styleId="Entte3">
    <w:name w:val="Entête 3"/>
    <w:basedOn w:val="Normal"/>
    <w:next w:val="Normal"/>
    <w:autoRedefine/>
    <w:rsid w:val="000324E5"/>
    <w:pPr>
      <w:spacing w:after="360"/>
      <w:ind w:left="215"/>
    </w:pPr>
    <w:rPr>
      <w:rFonts w:ascii="Calibri" w:hAnsi="Calibri"/>
      <w:b/>
      <w:i/>
      <w:iCs/>
      <w:caps/>
      <w:sz w:val="56"/>
      <w:szCs w:val="40"/>
    </w:rPr>
  </w:style>
  <w:style w:type="paragraph" w:styleId="Header">
    <w:name w:val="header"/>
    <w:basedOn w:val="Normal"/>
    <w:autoRedefine/>
    <w:rsid w:val="003755FC"/>
    <w:pPr>
      <w:tabs>
        <w:tab w:val="center" w:pos="4757"/>
        <w:tab w:val="right" w:pos="9072"/>
      </w:tabs>
      <w:ind w:left="363" w:right="-992" w:firstLine="130"/>
      <w:jc w:val="center"/>
    </w:pPr>
    <w:rPr>
      <w:rFonts w:ascii="Calibri" w:hAnsi="Calibri"/>
      <w:caps/>
    </w:rPr>
  </w:style>
  <w:style w:type="paragraph" w:styleId="Footer">
    <w:name w:val="footer"/>
    <w:basedOn w:val="Normal"/>
    <w:link w:val="FooterChar"/>
    <w:uiPriority w:val="99"/>
    <w:rsid w:val="00BC553A"/>
    <w:pPr>
      <w:tabs>
        <w:tab w:val="center" w:pos="4536"/>
        <w:tab w:val="right" w:pos="9072"/>
      </w:tabs>
    </w:pPr>
  </w:style>
  <w:style w:type="paragraph" w:styleId="TOC2">
    <w:name w:val="toc 2"/>
    <w:basedOn w:val="Normal"/>
    <w:next w:val="Normal"/>
    <w:autoRedefine/>
    <w:uiPriority w:val="39"/>
    <w:rsid w:val="005A1115"/>
    <w:pPr>
      <w:tabs>
        <w:tab w:val="left" w:pos="960"/>
        <w:tab w:val="right" w:leader="underscore" w:pos="14601"/>
      </w:tabs>
      <w:spacing w:before="80"/>
      <w:ind w:left="221" w:firstLine="346"/>
    </w:pPr>
  </w:style>
  <w:style w:type="paragraph" w:styleId="TOC3">
    <w:name w:val="toc 3"/>
    <w:basedOn w:val="Normal"/>
    <w:next w:val="Normal"/>
    <w:autoRedefine/>
    <w:uiPriority w:val="39"/>
    <w:rsid w:val="00814432"/>
    <w:pPr>
      <w:tabs>
        <w:tab w:val="left" w:pos="1418"/>
        <w:tab w:val="right" w:leader="underscore" w:pos="14570"/>
      </w:tabs>
      <w:spacing w:before="40"/>
      <w:ind w:left="442" w:firstLine="409"/>
    </w:pPr>
  </w:style>
  <w:style w:type="paragraph" w:styleId="TOC4">
    <w:name w:val="toc 4"/>
    <w:basedOn w:val="Normal"/>
    <w:next w:val="Normal"/>
    <w:autoRedefine/>
    <w:uiPriority w:val="39"/>
    <w:rsid w:val="00EC346F"/>
    <w:pPr>
      <w:ind w:left="660"/>
    </w:pPr>
  </w:style>
  <w:style w:type="character" w:styleId="Hyperlink">
    <w:name w:val="Hyperlink"/>
    <w:uiPriority w:val="99"/>
    <w:rsid w:val="00EC346F"/>
    <w:rPr>
      <w:color w:val="0000FF"/>
      <w:u w:val="single"/>
    </w:rPr>
  </w:style>
  <w:style w:type="paragraph" w:styleId="BodyText">
    <w:name w:val="Body Text"/>
    <w:aliases w:val="R&amp;S - Corps de texte,ändrad,body indent,Cdt,Base debut"/>
    <w:basedOn w:val="Normal"/>
    <w:link w:val="BodyTextChar"/>
    <w:rsid w:val="00005D16"/>
    <w:pPr>
      <w:ind w:firstLine="709"/>
    </w:pPr>
    <w:rPr>
      <w:rFonts w:cs="Times New Roman"/>
      <w:sz w:val="20"/>
      <w:lang w:eastAsia="en-US"/>
    </w:rPr>
  </w:style>
  <w:style w:type="character" w:customStyle="1" w:styleId="BodyTextChar">
    <w:name w:val="Body Text Char"/>
    <w:aliases w:val="R&amp;S - Corps de texte Char,ändrad Char,body indent Char,Cdt Char,Base debut Char"/>
    <w:link w:val="BodyText"/>
    <w:rsid w:val="00005D16"/>
    <w:rPr>
      <w:rFonts w:ascii="Arial" w:hAnsi="Arial"/>
      <w:lang w:val="fr-FR" w:eastAsia="en-US" w:bidi="ar-SA"/>
    </w:rPr>
  </w:style>
  <w:style w:type="paragraph" w:customStyle="1" w:styleId="Tableau-Corpsdetexte">
    <w:name w:val="Tableau - Corps de texte"/>
    <w:link w:val="Tableau-CorpsdetexteCar"/>
    <w:autoRedefine/>
    <w:rsid w:val="004B2CF2"/>
    <w:pPr>
      <w:tabs>
        <w:tab w:val="left" w:pos="252"/>
      </w:tabs>
    </w:pPr>
    <w:rPr>
      <w:rFonts w:ascii="Arial" w:hAnsi="Arial"/>
      <w:sz w:val="16"/>
    </w:rPr>
  </w:style>
  <w:style w:type="table" w:styleId="TableGrid">
    <w:name w:val="Table Grid"/>
    <w:basedOn w:val="TableNormal"/>
    <w:rsid w:val="00D7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7750C"/>
    <w:rPr>
      <w:b/>
      <w:bCs/>
      <w:sz w:val="20"/>
    </w:rPr>
  </w:style>
  <w:style w:type="paragraph" w:styleId="BalloonText">
    <w:name w:val="Balloon Text"/>
    <w:basedOn w:val="Normal"/>
    <w:semiHidden/>
    <w:rsid w:val="00D7750C"/>
    <w:rPr>
      <w:rFonts w:ascii="Tahoma" w:hAnsi="Tahoma" w:cs="Tahoma"/>
      <w:sz w:val="16"/>
      <w:szCs w:val="16"/>
    </w:rPr>
  </w:style>
  <w:style w:type="character" w:styleId="CommentReference">
    <w:name w:val="annotation reference"/>
    <w:semiHidden/>
    <w:rsid w:val="00D7750C"/>
    <w:rPr>
      <w:sz w:val="16"/>
      <w:szCs w:val="16"/>
    </w:rPr>
  </w:style>
  <w:style w:type="paragraph" w:styleId="CommentText">
    <w:name w:val="annotation text"/>
    <w:basedOn w:val="Normal"/>
    <w:semiHidden/>
    <w:rsid w:val="00D7750C"/>
    <w:rPr>
      <w:sz w:val="20"/>
    </w:rPr>
  </w:style>
  <w:style w:type="paragraph" w:customStyle="1" w:styleId="Titretableau">
    <w:name w:val="Titre tableau"/>
    <w:basedOn w:val="Normal"/>
    <w:rsid w:val="00D7750C"/>
    <w:pPr>
      <w:widowControl w:val="0"/>
      <w:jc w:val="center"/>
    </w:pPr>
    <w:rPr>
      <w:bCs/>
      <w:color w:val="FFFFFF"/>
      <w:sz w:val="16"/>
      <w:lang w:eastAsia="ja-JP"/>
    </w:rPr>
  </w:style>
  <w:style w:type="paragraph" w:styleId="CommentSubject">
    <w:name w:val="annotation subject"/>
    <w:basedOn w:val="CommentText"/>
    <w:next w:val="CommentText"/>
    <w:semiHidden/>
    <w:rsid w:val="00DE27BE"/>
    <w:rPr>
      <w:b/>
      <w:bCs/>
    </w:rPr>
  </w:style>
  <w:style w:type="paragraph" w:customStyle="1" w:styleId="Tableau-Entte">
    <w:name w:val="Tableau - Entête"/>
    <w:next w:val="Normal"/>
    <w:autoRedefine/>
    <w:rsid w:val="00295E40"/>
    <w:pPr>
      <w:jc w:val="center"/>
    </w:pPr>
    <w:rPr>
      <w:rFonts w:ascii="Arial" w:hAnsi="Arial" w:cs="Arial"/>
      <w:b/>
      <w:sz w:val="18"/>
      <w:lang w:eastAsia="en-US"/>
    </w:rPr>
  </w:style>
  <w:style w:type="paragraph" w:customStyle="1" w:styleId="LgendeImage">
    <w:name w:val="Légende Image"/>
    <w:basedOn w:val="Caption"/>
    <w:rsid w:val="00B15C11"/>
    <w:pPr>
      <w:jc w:val="center"/>
    </w:pPr>
  </w:style>
  <w:style w:type="paragraph" w:customStyle="1" w:styleId="Image">
    <w:name w:val="Image"/>
    <w:basedOn w:val="Normal"/>
    <w:next w:val="Normal"/>
    <w:autoRedefine/>
    <w:rsid w:val="00B15C11"/>
    <w:pPr>
      <w:jc w:val="center"/>
    </w:pPr>
  </w:style>
  <w:style w:type="numbering" w:customStyle="1" w:styleId="ListePuces1">
    <w:name w:val="Liste Puces 1"/>
    <w:basedOn w:val="NoList"/>
    <w:rsid w:val="00B15C11"/>
    <w:pPr>
      <w:numPr>
        <w:numId w:val="2"/>
      </w:numPr>
    </w:pPr>
  </w:style>
  <w:style w:type="numbering" w:customStyle="1" w:styleId="ListePuces2">
    <w:name w:val="Liste Puces 2"/>
    <w:basedOn w:val="NoList"/>
    <w:rsid w:val="00681641"/>
    <w:pPr>
      <w:numPr>
        <w:numId w:val="3"/>
      </w:numPr>
    </w:pPr>
  </w:style>
  <w:style w:type="paragraph" w:styleId="DocumentMap">
    <w:name w:val="Document Map"/>
    <w:basedOn w:val="Normal"/>
    <w:semiHidden/>
    <w:rsid w:val="00BD55E8"/>
    <w:pPr>
      <w:shd w:val="clear" w:color="auto" w:fill="000080"/>
    </w:pPr>
    <w:rPr>
      <w:rFonts w:ascii="Tahoma" w:hAnsi="Tahoma" w:cs="Tahoma"/>
    </w:rPr>
  </w:style>
  <w:style w:type="paragraph" w:customStyle="1" w:styleId="CarCarCar">
    <w:name w:val="Car Car Car"/>
    <w:basedOn w:val="Normal"/>
    <w:semiHidden/>
    <w:rsid w:val="007B55F3"/>
    <w:pPr>
      <w:autoSpaceDE w:val="0"/>
      <w:autoSpaceDN w:val="0"/>
      <w:adjustRightInd w:val="0"/>
      <w:spacing w:after="160" w:line="240" w:lineRule="exact"/>
      <w:ind w:left="40"/>
    </w:pPr>
    <w:rPr>
      <w:color w:val="333333"/>
      <w:sz w:val="20"/>
      <w:szCs w:val="24"/>
      <w:lang w:val="en-US"/>
    </w:rPr>
  </w:style>
  <w:style w:type="paragraph" w:customStyle="1" w:styleId="StyleGrasSoulignement">
    <w:name w:val="Style Gras Soulignement"/>
    <w:basedOn w:val="Tableau-Corpsdetexte"/>
    <w:next w:val="Tableau-Corpsdetexte"/>
    <w:rsid w:val="00005D16"/>
    <w:rPr>
      <w:b/>
      <w:bCs/>
      <w:u w:val="single"/>
    </w:rPr>
  </w:style>
  <w:style w:type="paragraph" w:customStyle="1" w:styleId="Tableau">
    <w:name w:val="Tableau"/>
    <w:basedOn w:val="Tableau-Corpsdetexte"/>
    <w:rsid w:val="000D7BB1"/>
  </w:style>
  <w:style w:type="paragraph" w:customStyle="1" w:styleId="CarCar">
    <w:name w:val="Car Car"/>
    <w:basedOn w:val="Normal"/>
    <w:semiHidden/>
    <w:rsid w:val="00631C95"/>
    <w:pPr>
      <w:spacing w:after="160" w:line="240" w:lineRule="exact"/>
    </w:pPr>
    <w:rPr>
      <w:color w:val="333333"/>
      <w:sz w:val="20"/>
      <w:szCs w:val="24"/>
      <w:lang w:val="en-US"/>
    </w:rPr>
  </w:style>
  <w:style w:type="character" w:customStyle="1" w:styleId="Tableau-CorpsdetexteCar">
    <w:name w:val="Tableau - Corps de texte Car"/>
    <w:link w:val="Tableau-Corpsdetexte"/>
    <w:rsid w:val="004B2CF2"/>
    <w:rPr>
      <w:rFonts w:ascii="Arial" w:hAnsi="Arial"/>
      <w:sz w:val="16"/>
      <w:lang w:val="fr-FR" w:eastAsia="fr-FR" w:bidi="ar-SA"/>
    </w:rPr>
  </w:style>
  <w:style w:type="paragraph" w:customStyle="1" w:styleId="CarCar1">
    <w:name w:val="Car Car1"/>
    <w:basedOn w:val="Normal"/>
    <w:semiHidden/>
    <w:rsid w:val="00E60B9B"/>
    <w:pPr>
      <w:spacing w:after="160" w:line="240" w:lineRule="exact"/>
    </w:pPr>
    <w:rPr>
      <w:rFonts w:cs="Times New Roman"/>
      <w:color w:val="333333"/>
      <w:szCs w:val="24"/>
      <w:lang w:val="en-US"/>
    </w:rPr>
  </w:style>
  <w:style w:type="table" w:customStyle="1" w:styleId="MediumGrid3-Accent11">
    <w:name w:val="Medium Grid 3 - Accent 11"/>
    <w:basedOn w:val="TableNormal"/>
    <w:uiPriority w:val="69"/>
    <w:rsid w:val="006318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5445C8"/>
    <w:pPr>
      <w:widowControl w:val="0"/>
      <w:numPr>
        <w:numId w:val="4"/>
      </w:numPr>
      <w:tabs>
        <w:tab w:val="clear" w:pos="360"/>
      </w:tabs>
      <w:spacing w:before="60" w:after="60"/>
      <w:ind w:left="426"/>
    </w:pPr>
    <w:rPr>
      <w:szCs w:val="22"/>
      <w:lang w:val="en-US" w:eastAsia="de-DE"/>
    </w:rPr>
  </w:style>
  <w:style w:type="character" w:customStyle="1" w:styleId="Heading2Char">
    <w:name w:val="Heading 2 Char"/>
    <w:aliases w:val="Titre 2 av num Char,(Sous-titre) Char,Niveau 1 1 Char,Heading 2 CFMU Char,Chapitre Char"/>
    <w:link w:val="Heading2"/>
    <w:rsid w:val="00064CA3"/>
    <w:rPr>
      <w:rFonts w:ascii="Verdana" w:hAnsi="Verdana"/>
      <w:b/>
      <w:bCs/>
      <w:i/>
      <w:iCs/>
      <w:sz w:val="26"/>
      <w:szCs w:val="28"/>
      <w:lang w:eastAsia="en-US"/>
    </w:rPr>
  </w:style>
  <w:style w:type="character" w:customStyle="1" w:styleId="Heading9Char">
    <w:name w:val="Heading 9 Char"/>
    <w:link w:val="Heading9"/>
    <w:rsid w:val="00064CA3"/>
    <w:rPr>
      <w:rFonts w:ascii="Arial" w:hAnsi="Arial"/>
      <w:sz w:val="16"/>
    </w:rPr>
  </w:style>
  <w:style w:type="paragraph" w:customStyle="1" w:styleId="ListParagraph1">
    <w:name w:val="List Paragraph1"/>
    <w:basedOn w:val="Normal"/>
    <w:uiPriority w:val="34"/>
    <w:qFormat/>
    <w:rsid w:val="00B5358C"/>
    <w:pPr>
      <w:spacing w:after="200" w:line="276" w:lineRule="auto"/>
      <w:ind w:left="720"/>
      <w:contextualSpacing/>
    </w:pPr>
    <w:rPr>
      <w:rFonts w:ascii="Calibri" w:eastAsia="Calibri" w:hAnsi="Calibri" w:cs="Times New Roman"/>
      <w:szCs w:val="22"/>
    </w:rPr>
  </w:style>
  <w:style w:type="paragraph" w:customStyle="1" w:styleId="Quote1">
    <w:name w:val="Quote1"/>
    <w:basedOn w:val="Normal"/>
    <w:next w:val="Normal"/>
    <w:link w:val="QuoteChar"/>
    <w:uiPriority w:val="29"/>
    <w:qFormat/>
    <w:rsid w:val="00B135ED"/>
    <w:pPr>
      <w:spacing w:after="200" w:line="276" w:lineRule="auto"/>
    </w:pPr>
    <w:rPr>
      <w:rFonts w:ascii="Calibri" w:hAnsi="Calibri" w:cs="Times New Roman"/>
      <w:i/>
      <w:iCs/>
      <w:color w:val="000000"/>
      <w:szCs w:val="22"/>
    </w:rPr>
  </w:style>
  <w:style w:type="character" w:customStyle="1" w:styleId="QuoteChar">
    <w:name w:val="Quote Char"/>
    <w:link w:val="Quote1"/>
    <w:uiPriority w:val="29"/>
    <w:rsid w:val="00B135ED"/>
    <w:rPr>
      <w:rFonts w:ascii="Calibri" w:eastAsia="Times New Roman" w:hAnsi="Calibri" w:cs="Times New Roman"/>
      <w:i/>
      <w:iCs/>
      <w:color w:val="000000"/>
      <w:sz w:val="22"/>
      <w:szCs w:val="22"/>
    </w:rPr>
  </w:style>
  <w:style w:type="paragraph" w:styleId="NoSpacing">
    <w:name w:val="No Spacing"/>
    <w:link w:val="NoSpacingChar"/>
    <w:uiPriority w:val="1"/>
    <w:qFormat/>
    <w:rsid w:val="00582B4E"/>
    <w:pPr>
      <w:ind w:left="213"/>
    </w:pPr>
    <w:rPr>
      <w:rFonts w:ascii="Arial" w:hAnsi="Arial" w:cs="Arial"/>
      <w:lang w:eastAsia="en-US"/>
    </w:rPr>
  </w:style>
  <w:style w:type="paragraph" w:styleId="EndnoteText">
    <w:name w:val="endnote text"/>
    <w:basedOn w:val="Normal"/>
    <w:link w:val="EndnoteTextChar"/>
    <w:uiPriority w:val="99"/>
    <w:semiHidden/>
    <w:unhideWhenUsed/>
    <w:rsid w:val="00CD7BCC"/>
    <w:rPr>
      <w:sz w:val="20"/>
    </w:rPr>
  </w:style>
  <w:style w:type="character" w:customStyle="1" w:styleId="EndnoteTextChar">
    <w:name w:val="Endnote Text Char"/>
    <w:basedOn w:val="DefaultParagraphFont"/>
    <w:link w:val="EndnoteText"/>
    <w:uiPriority w:val="99"/>
    <w:semiHidden/>
    <w:rsid w:val="00CD7BCC"/>
    <w:rPr>
      <w:rFonts w:ascii="Arial" w:hAnsi="Arial" w:cs="Arial"/>
      <w:lang w:eastAsia="en-US"/>
    </w:rPr>
  </w:style>
  <w:style w:type="character" w:styleId="EndnoteReference">
    <w:name w:val="endnote reference"/>
    <w:basedOn w:val="DefaultParagraphFont"/>
    <w:uiPriority w:val="99"/>
    <w:semiHidden/>
    <w:unhideWhenUsed/>
    <w:rsid w:val="00CD7BCC"/>
    <w:rPr>
      <w:vertAlign w:val="superscript"/>
    </w:rPr>
  </w:style>
  <w:style w:type="paragraph" w:styleId="Title">
    <w:name w:val="Title"/>
    <w:basedOn w:val="Normal"/>
    <w:next w:val="Normal"/>
    <w:link w:val="TitleChar"/>
    <w:uiPriority w:val="10"/>
    <w:qFormat/>
    <w:rsid w:val="008B61C5"/>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rsid w:val="008B61C5"/>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A34534"/>
    <w:rPr>
      <w:color w:val="954F72" w:themeColor="followedHyperlink"/>
      <w:u w:val="single"/>
    </w:rPr>
  </w:style>
  <w:style w:type="character" w:customStyle="1" w:styleId="NoSpacingChar">
    <w:name w:val="No Spacing Char"/>
    <w:basedOn w:val="DefaultParagraphFont"/>
    <w:link w:val="NoSpacing"/>
    <w:uiPriority w:val="1"/>
    <w:rsid w:val="0094740B"/>
    <w:rPr>
      <w:rFonts w:ascii="Arial" w:hAnsi="Arial" w:cs="Arial"/>
      <w:lang w:eastAsia="en-US"/>
    </w:rPr>
  </w:style>
  <w:style w:type="character" w:styleId="PlaceholderText">
    <w:name w:val="Placeholder Text"/>
    <w:basedOn w:val="DefaultParagraphFont"/>
    <w:uiPriority w:val="99"/>
    <w:semiHidden/>
    <w:rsid w:val="003A6D72"/>
    <w:rPr>
      <w:color w:val="808080"/>
    </w:rPr>
  </w:style>
  <w:style w:type="paragraph" w:styleId="ListParagraph">
    <w:name w:val="List Paragraph"/>
    <w:basedOn w:val="Normal"/>
    <w:uiPriority w:val="34"/>
    <w:qFormat/>
    <w:rsid w:val="00AB4C1B"/>
    <w:pPr>
      <w:ind w:left="720"/>
      <w:contextualSpacing/>
    </w:pPr>
  </w:style>
  <w:style w:type="paragraph" w:customStyle="1" w:styleId="Justifi">
    <w:name w:val="Justifié"/>
    <w:basedOn w:val="Normal"/>
    <w:link w:val="JustifiChar"/>
    <w:autoRedefine/>
    <w:qFormat/>
    <w:rsid w:val="009216B8"/>
  </w:style>
  <w:style w:type="character" w:customStyle="1" w:styleId="JustifiChar">
    <w:name w:val="Justifié Char"/>
    <w:basedOn w:val="DefaultParagraphFont"/>
    <w:link w:val="Justifi"/>
    <w:rsid w:val="009216B8"/>
    <w:rPr>
      <w:rFonts w:ascii="Arial" w:hAnsi="Arial" w:cs="Arial"/>
      <w:sz w:val="22"/>
    </w:rPr>
  </w:style>
  <w:style w:type="paragraph" w:styleId="FootnoteText">
    <w:name w:val="footnote text"/>
    <w:basedOn w:val="Normal"/>
    <w:link w:val="FootnoteTextChar"/>
    <w:uiPriority w:val="99"/>
    <w:semiHidden/>
    <w:unhideWhenUsed/>
    <w:rsid w:val="008D3AF5"/>
    <w:pPr>
      <w:spacing w:before="0" w:after="0"/>
    </w:pPr>
    <w:rPr>
      <w:sz w:val="20"/>
    </w:rPr>
  </w:style>
  <w:style w:type="character" w:customStyle="1" w:styleId="FootnoteTextChar">
    <w:name w:val="Footnote Text Char"/>
    <w:basedOn w:val="DefaultParagraphFont"/>
    <w:link w:val="FootnoteText"/>
    <w:uiPriority w:val="99"/>
    <w:semiHidden/>
    <w:rsid w:val="008D3AF5"/>
    <w:rPr>
      <w:rFonts w:ascii="Arial" w:hAnsi="Arial" w:cs="Arial"/>
    </w:rPr>
  </w:style>
  <w:style w:type="character" w:styleId="FootnoteReference">
    <w:name w:val="footnote reference"/>
    <w:basedOn w:val="DefaultParagraphFont"/>
    <w:uiPriority w:val="99"/>
    <w:semiHidden/>
    <w:unhideWhenUsed/>
    <w:rsid w:val="008D3AF5"/>
    <w:rPr>
      <w:vertAlign w:val="superscript"/>
    </w:rPr>
  </w:style>
  <w:style w:type="paragraph" w:customStyle="1" w:styleId="Graph">
    <w:name w:val="Graph"/>
    <w:basedOn w:val="Normal"/>
    <w:link w:val="GraphChar"/>
    <w:autoRedefine/>
    <w:qFormat/>
    <w:rsid w:val="00041825"/>
    <w:pPr>
      <w:jc w:val="center"/>
    </w:pPr>
    <w:rPr>
      <w:noProof/>
      <w:sz w:val="14"/>
      <w:szCs w:val="12"/>
    </w:rPr>
  </w:style>
  <w:style w:type="character" w:customStyle="1" w:styleId="GraphChar">
    <w:name w:val="Graph Char"/>
    <w:basedOn w:val="DefaultParagraphFont"/>
    <w:link w:val="Graph"/>
    <w:rsid w:val="00041825"/>
    <w:rPr>
      <w:rFonts w:ascii="Arial" w:hAnsi="Arial" w:cs="Arial"/>
      <w:noProof/>
      <w:sz w:val="14"/>
      <w:szCs w:val="12"/>
    </w:rPr>
  </w:style>
  <w:style w:type="character" w:styleId="IntenseEmphasis">
    <w:name w:val="Intense Emphasis"/>
    <w:basedOn w:val="DefaultParagraphFont"/>
    <w:uiPriority w:val="21"/>
    <w:qFormat/>
    <w:rsid w:val="003063A1"/>
    <w:rPr>
      <w:b/>
      <w:bCs/>
      <w:i/>
      <w:iCs/>
      <w:color w:val="5B9BD5" w:themeColor="accent1"/>
    </w:rPr>
  </w:style>
  <w:style w:type="character" w:styleId="BookTitle">
    <w:name w:val="Book Title"/>
    <w:basedOn w:val="DefaultParagraphFont"/>
    <w:uiPriority w:val="33"/>
    <w:qFormat/>
    <w:rsid w:val="00681F75"/>
    <w:rPr>
      <w:b/>
      <w:bCs/>
      <w:smallCaps/>
      <w:spacing w:val="5"/>
    </w:rPr>
  </w:style>
  <w:style w:type="paragraph" w:customStyle="1" w:styleId="Default">
    <w:name w:val="Default"/>
    <w:rsid w:val="004D6418"/>
    <w:pPr>
      <w:autoSpaceDE w:val="0"/>
      <w:autoSpaceDN w:val="0"/>
      <w:adjustRightInd w:val="0"/>
    </w:pPr>
    <w:rPr>
      <w:rFonts w:ascii="Arial" w:eastAsia="Calibri" w:hAnsi="Arial" w:cs="Arial"/>
      <w:color w:val="000000"/>
      <w:sz w:val="24"/>
      <w:szCs w:val="24"/>
      <w:lang w:val="en-US" w:eastAsia="en-US"/>
    </w:rPr>
  </w:style>
  <w:style w:type="character" w:customStyle="1" w:styleId="FooterChar">
    <w:name w:val="Footer Char"/>
    <w:basedOn w:val="DefaultParagraphFont"/>
    <w:link w:val="Footer"/>
    <w:uiPriority w:val="99"/>
    <w:rsid w:val="001B1178"/>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8305">
      <w:bodyDiv w:val="1"/>
      <w:marLeft w:val="0"/>
      <w:marRight w:val="0"/>
      <w:marTop w:val="0"/>
      <w:marBottom w:val="0"/>
      <w:divBdr>
        <w:top w:val="none" w:sz="0" w:space="0" w:color="auto"/>
        <w:left w:val="none" w:sz="0" w:space="0" w:color="auto"/>
        <w:bottom w:val="none" w:sz="0" w:space="0" w:color="auto"/>
        <w:right w:val="none" w:sz="0" w:space="0" w:color="auto"/>
      </w:divBdr>
    </w:div>
    <w:div w:id="49117991">
      <w:bodyDiv w:val="1"/>
      <w:marLeft w:val="0"/>
      <w:marRight w:val="0"/>
      <w:marTop w:val="0"/>
      <w:marBottom w:val="0"/>
      <w:divBdr>
        <w:top w:val="none" w:sz="0" w:space="0" w:color="auto"/>
        <w:left w:val="none" w:sz="0" w:space="0" w:color="auto"/>
        <w:bottom w:val="none" w:sz="0" w:space="0" w:color="auto"/>
        <w:right w:val="none" w:sz="0" w:space="0" w:color="auto"/>
      </w:divBdr>
    </w:div>
    <w:div w:id="99421695">
      <w:bodyDiv w:val="1"/>
      <w:marLeft w:val="0"/>
      <w:marRight w:val="0"/>
      <w:marTop w:val="0"/>
      <w:marBottom w:val="0"/>
      <w:divBdr>
        <w:top w:val="none" w:sz="0" w:space="0" w:color="auto"/>
        <w:left w:val="none" w:sz="0" w:space="0" w:color="auto"/>
        <w:bottom w:val="none" w:sz="0" w:space="0" w:color="auto"/>
        <w:right w:val="none" w:sz="0" w:space="0" w:color="auto"/>
      </w:divBdr>
    </w:div>
    <w:div w:id="236522160">
      <w:bodyDiv w:val="1"/>
      <w:marLeft w:val="0"/>
      <w:marRight w:val="0"/>
      <w:marTop w:val="0"/>
      <w:marBottom w:val="0"/>
      <w:divBdr>
        <w:top w:val="none" w:sz="0" w:space="0" w:color="auto"/>
        <w:left w:val="none" w:sz="0" w:space="0" w:color="auto"/>
        <w:bottom w:val="none" w:sz="0" w:space="0" w:color="auto"/>
        <w:right w:val="none" w:sz="0" w:space="0" w:color="auto"/>
      </w:divBdr>
    </w:div>
    <w:div w:id="255528811">
      <w:bodyDiv w:val="1"/>
      <w:marLeft w:val="0"/>
      <w:marRight w:val="0"/>
      <w:marTop w:val="0"/>
      <w:marBottom w:val="0"/>
      <w:divBdr>
        <w:top w:val="none" w:sz="0" w:space="0" w:color="auto"/>
        <w:left w:val="none" w:sz="0" w:space="0" w:color="auto"/>
        <w:bottom w:val="none" w:sz="0" w:space="0" w:color="auto"/>
        <w:right w:val="none" w:sz="0" w:space="0" w:color="auto"/>
      </w:divBdr>
    </w:div>
    <w:div w:id="266811490">
      <w:bodyDiv w:val="1"/>
      <w:marLeft w:val="0"/>
      <w:marRight w:val="0"/>
      <w:marTop w:val="0"/>
      <w:marBottom w:val="0"/>
      <w:divBdr>
        <w:top w:val="none" w:sz="0" w:space="0" w:color="auto"/>
        <w:left w:val="none" w:sz="0" w:space="0" w:color="auto"/>
        <w:bottom w:val="none" w:sz="0" w:space="0" w:color="auto"/>
        <w:right w:val="none" w:sz="0" w:space="0" w:color="auto"/>
      </w:divBdr>
    </w:div>
    <w:div w:id="331221234">
      <w:bodyDiv w:val="1"/>
      <w:marLeft w:val="0"/>
      <w:marRight w:val="0"/>
      <w:marTop w:val="0"/>
      <w:marBottom w:val="0"/>
      <w:divBdr>
        <w:top w:val="none" w:sz="0" w:space="0" w:color="auto"/>
        <w:left w:val="none" w:sz="0" w:space="0" w:color="auto"/>
        <w:bottom w:val="none" w:sz="0" w:space="0" w:color="auto"/>
        <w:right w:val="none" w:sz="0" w:space="0" w:color="auto"/>
      </w:divBdr>
    </w:div>
    <w:div w:id="359281812">
      <w:bodyDiv w:val="1"/>
      <w:marLeft w:val="0"/>
      <w:marRight w:val="0"/>
      <w:marTop w:val="0"/>
      <w:marBottom w:val="0"/>
      <w:divBdr>
        <w:top w:val="none" w:sz="0" w:space="0" w:color="auto"/>
        <w:left w:val="none" w:sz="0" w:space="0" w:color="auto"/>
        <w:bottom w:val="none" w:sz="0" w:space="0" w:color="auto"/>
        <w:right w:val="none" w:sz="0" w:space="0" w:color="auto"/>
      </w:divBdr>
    </w:div>
    <w:div w:id="398359930">
      <w:bodyDiv w:val="1"/>
      <w:marLeft w:val="0"/>
      <w:marRight w:val="0"/>
      <w:marTop w:val="0"/>
      <w:marBottom w:val="0"/>
      <w:divBdr>
        <w:top w:val="none" w:sz="0" w:space="0" w:color="auto"/>
        <w:left w:val="none" w:sz="0" w:space="0" w:color="auto"/>
        <w:bottom w:val="none" w:sz="0" w:space="0" w:color="auto"/>
        <w:right w:val="none" w:sz="0" w:space="0" w:color="auto"/>
      </w:divBdr>
    </w:div>
    <w:div w:id="402336580">
      <w:bodyDiv w:val="1"/>
      <w:marLeft w:val="0"/>
      <w:marRight w:val="0"/>
      <w:marTop w:val="0"/>
      <w:marBottom w:val="0"/>
      <w:divBdr>
        <w:top w:val="none" w:sz="0" w:space="0" w:color="auto"/>
        <w:left w:val="none" w:sz="0" w:space="0" w:color="auto"/>
        <w:bottom w:val="none" w:sz="0" w:space="0" w:color="auto"/>
        <w:right w:val="none" w:sz="0" w:space="0" w:color="auto"/>
      </w:divBdr>
    </w:div>
    <w:div w:id="410857490">
      <w:bodyDiv w:val="1"/>
      <w:marLeft w:val="0"/>
      <w:marRight w:val="0"/>
      <w:marTop w:val="0"/>
      <w:marBottom w:val="0"/>
      <w:divBdr>
        <w:top w:val="none" w:sz="0" w:space="0" w:color="auto"/>
        <w:left w:val="none" w:sz="0" w:space="0" w:color="auto"/>
        <w:bottom w:val="none" w:sz="0" w:space="0" w:color="auto"/>
        <w:right w:val="none" w:sz="0" w:space="0" w:color="auto"/>
      </w:divBdr>
    </w:div>
    <w:div w:id="448403506">
      <w:bodyDiv w:val="1"/>
      <w:marLeft w:val="0"/>
      <w:marRight w:val="0"/>
      <w:marTop w:val="0"/>
      <w:marBottom w:val="0"/>
      <w:divBdr>
        <w:top w:val="none" w:sz="0" w:space="0" w:color="auto"/>
        <w:left w:val="none" w:sz="0" w:space="0" w:color="auto"/>
        <w:bottom w:val="none" w:sz="0" w:space="0" w:color="auto"/>
        <w:right w:val="none" w:sz="0" w:space="0" w:color="auto"/>
      </w:divBdr>
    </w:div>
    <w:div w:id="480192163">
      <w:bodyDiv w:val="1"/>
      <w:marLeft w:val="0"/>
      <w:marRight w:val="0"/>
      <w:marTop w:val="0"/>
      <w:marBottom w:val="0"/>
      <w:divBdr>
        <w:top w:val="none" w:sz="0" w:space="0" w:color="auto"/>
        <w:left w:val="none" w:sz="0" w:space="0" w:color="auto"/>
        <w:bottom w:val="none" w:sz="0" w:space="0" w:color="auto"/>
        <w:right w:val="none" w:sz="0" w:space="0" w:color="auto"/>
      </w:divBdr>
    </w:div>
    <w:div w:id="507796015">
      <w:bodyDiv w:val="1"/>
      <w:marLeft w:val="0"/>
      <w:marRight w:val="0"/>
      <w:marTop w:val="0"/>
      <w:marBottom w:val="0"/>
      <w:divBdr>
        <w:top w:val="none" w:sz="0" w:space="0" w:color="auto"/>
        <w:left w:val="none" w:sz="0" w:space="0" w:color="auto"/>
        <w:bottom w:val="none" w:sz="0" w:space="0" w:color="auto"/>
        <w:right w:val="none" w:sz="0" w:space="0" w:color="auto"/>
      </w:divBdr>
    </w:div>
    <w:div w:id="535432524">
      <w:bodyDiv w:val="1"/>
      <w:marLeft w:val="0"/>
      <w:marRight w:val="0"/>
      <w:marTop w:val="0"/>
      <w:marBottom w:val="0"/>
      <w:divBdr>
        <w:top w:val="none" w:sz="0" w:space="0" w:color="auto"/>
        <w:left w:val="none" w:sz="0" w:space="0" w:color="auto"/>
        <w:bottom w:val="none" w:sz="0" w:space="0" w:color="auto"/>
        <w:right w:val="none" w:sz="0" w:space="0" w:color="auto"/>
      </w:divBdr>
    </w:div>
    <w:div w:id="700126765">
      <w:bodyDiv w:val="1"/>
      <w:marLeft w:val="0"/>
      <w:marRight w:val="0"/>
      <w:marTop w:val="0"/>
      <w:marBottom w:val="0"/>
      <w:divBdr>
        <w:top w:val="none" w:sz="0" w:space="0" w:color="auto"/>
        <w:left w:val="none" w:sz="0" w:space="0" w:color="auto"/>
        <w:bottom w:val="none" w:sz="0" w:space="0" w:color="auto"/>
        <w:right w:val="none" w:sz="0" w:space="0" w:color="auto"/>
      </w:divBdr>
    </w:div>
    <w:div w:id="705984709">
      <w:bodyDiv w:val="1"/>
      <w:marLeft w:val="0"/>
      <w:marRight w:val="0"/>
      <w:marTop w:val="0"/>
      <w:marBottom w:val="0"/>
      <w:divBdr>
        <w:top w:val="none" w:sz="0" w:space="0" w:color="auto"/>
        <w:left w:val="none" w:sz="0" w:space="0" w:color="auto"/>
        <w:bottom w:val="none" w:sz="0" w:space="0" w:color="auto"/>
        <w:right w:val="none" w:sz="0" w:space="0" w:color="auto"/>
      </w:divBdr>
    </w:div>
    <w:div w:id="716003601">
      <w:bodyDiv w:val="1"/>
      <w:marLeft w:val="0"/>
      <w:marRight w:val="0"/>
      <w:marTop w:val="0"/>
      <w:marBottom w:val="0"/>
      <w:divBdr>
        <w:top w:val="none" w:sz="0" w:space="0" w:color="auto"/>
        <w:left w:val="none" w:sz="0" w:space="0" w:color="auto"/>
        <w:bottom w:val="none" w:sz="0" w:space="0" w:color="auto"/>
        <w:right w:val="none" w:sz="0" w:space="0" w:color="auto"/>
      </w:divBdr>
    </w:div>
    <w:div w:id="724530179">
      <w:bodyDiv w:val="1"/>
      <w:marLeft w:val="0"/>
      <w:marRight w:val="0"/>
      <w:marTop w:val="0"/>
      <w:marBottom w:val="0"/>
      <w:divBdr>
        <w:top w:val="none" w:sz="0" w:space="0" w:color="auto"/>
        <w:left w:val="none" w:sz="0" w:space="0" w:color="auto"/>
        <w:bottom w:val="none" w:sz="0" w:space="0" w:color="auto"/>
        <w:right w:val="none" w:sz="0" w:space="0" w:color="auto"/>
      </w:divBdr>
    </w:div>
    <w:div w:id="802306142">
      <w:bodyDiv w:val="1"/>
      <w:marLeft w:val="0"/>
      <w:marRight w:val="0"/>
      <w:marTop w:val="0"/>
      <w:marBottom w:val="0"/>
      <w:divBdr>
        <w:top w:val="none" w:sz="0" w:space="0" w:color="auto"/>
        <w:left w:val="none" w:sz="0" w:space="0" w:color="auto"/>
        <w:bottom w:val="none" w:sz="0" w:space="0" w:color="auto"/>
        <w:right w:val="none" w:sz="0" w:space="0" w:color="auto"/>
      </w:divBdr>
    </w:div>
    <w:div w:id="802574063">
      <w:bodyDiv w:val="1"/>
      <w:marLeft w:val="0"/>
      <w:marRight w:val="0"/>
      <w:marTop w:val="0"/>
      <w:marBottom w:val="0"/>
      <w:divBdr>
        <w:top w:val="none" w:sz="0" w:space="0" w:color="auto"/>
        <w:left w:val="none" w:sz="0" w:space="0" w:color="auto"/>
        <w:bottom w:val="none" w:sz="0" w:space="0" w:color="auto"/>
        <w:right w:val="none" w:sz="0" w:space="0" w:color="auto"/>
      </w:divBdr>
    </w:div>
    <w:div w:id="1022128090">
      <w:bodyDiv w:val="1"/>
      <w:marLeft w:val="0"/>
      <w:marRight w:val="0"/>
      <w:marTop w:val="0"/>
      <w:marBottom w:val="0"/>
      <w:divBdr>
        <w:top w:val="none" w:sz="0" w:space="0" w:color="auto"/>
        <w:left w:val="none" w:sz="0" w:space="0" w:color="auto"/>
        <w:bottom w:val="none" w:sz="0" w:space="0" w:color="auto"/>
        <w:right w:val="none" w:sz="0" w:space="0" w:color="auto"/>
      </w:divBdr>
    </w:div>
    <w:div w:id="1029994754">
      <w:bodyDiv w:val="1"/>
      <w:marLeft w:val="0"/>
      <w:marRight w:val="0"/>
      <w:marTop w:val="0"/>
      <w:marBottom w:val="0"/>
      <w:divBdr>
        <w:top w:val="none" w:sz="0" w:space="0" w:color="auto"/>
        <w:left w:val="none" w:sz="0" w:space="0" w:color="auto"/>
        <w:bottom w:val="none" w:sz="0" w:space="0" w:color="auto"/>
        <w:right w:val="none" w:sz="0" w:space="0" w:color="auto"/>
      </w:divBdr>
    </w:div>
    <w:div w:id="1106274160">
      <w:bodyDiv w:val="1"/>
      <w:marLeft w:val="0"/>
      <w:marRight w:val="0"/>
      <w:marTop w:val="0"/>
      <w:marBottom w:val="0"/>
      <w:divBdr>
        <w:top w:val="none" w:sz="0" w:space="0" w:color="auto"/>
        <w:left w:val="none" w:sz="0" w:space="0" w:color="auto"/>
        <w:bottom w:val="none" w:sz="0" w:space="0" w:color="auto"/>
        <w:right w:val="none" w:sz="0" w:space="0" w:color="auto"/>
      </w:divBdr>
    </w:div>
    <w:div w:id="1133989097">
      <w:bodyDiv w:val="1"/>
      <w:marLeft w:val="0"/>
      <w:marRight w:val="0"/>
      <w:marTop w:val="0"/>
      <w:marBottom w:val="0"/>
      <w:divBdr>
        <w:top w:val="none" w:sz="0" w:space="0" w:color="auto"/>
        <w:left w:val="none" w:sz="0" w:space="0" w:color="auto"/>
        <w:bottom w:val="none" w:sz="0" w:space="0" w:color="auto"/>
        <w:right w:val="none" w:sz="0" w:space="0" w:color="auto"/>
      </w:divBdr>
    </w:div>
    <w:div w:id="1149516689">
      <w:bodyDiv w:val="1"/>
      <w:marLeft w:val="0"/>
      <w:marRight w:val="0"/>
      <w:marTop w:val="0"/>
      <w:marBottom w:val="0"/>
      <w:divBdr>
        <w:top w:val="none" w:sz="0" w:space="0" w:color="auto"/>
        <w:left w:val="none" w:sz="0" w:space="0" w:color="auto"/>
        <w:bottom w:val="none" w:sz="0" w:space="0" w:color="auto"/>
        <w:right w:val="none" w:sz="0" w:space="0" w:color="auto"/>
      </w:divBdr>
    </w:div>
    <w:div w:id="1187868735">
      <w:bodyDiv w:val="1"/>
      <w:marLeft w:val="0"/>
      <w:marRight w:val="0"/>
      <w:marTop w:val="0"/>
      <w:marBottom w:val="0"/>
      <w:divBdr>
        <w:top w:val="none" w:sz="0" w:space="0" w:color="auto"/>
        <w:left w:val="none" w:sz="0" w:space="0" w:color="auto"/>
        <w:bottom w:val="none" w:sz="0" w:space="0" w:color="auto"/>
        <w:right w:val="none" w:sz="0" w:space="0" w:color="auto"/>
      </w:divBdr>
    </w:div>
    <w:div w:id="1190726435">
      <w:bodyDiv w:val="1"/>
      <w:marLeft w:val="0"/>
      <w:marRight w:val="0"/>
      <w:marTop w:val="0"/>
      <w:marBottom w:val="0"/>
      <w:divBdr>
        <w:top w:val="none" w:sz="0" w:space="0" w:color="auto"/>
        <w:left w:val="none" w:sz="0" w:space="0" w:color="auto"/>
        <w:bottom w:val="none" w:sz="0" w:space="0" w:color="auto"/>
        <w:right w:val="none" w:sz="0" w:space="0" w:color="auto"/>
      </w:divBdr>
    </w:div>
    <w:div w:id="1198464543">
      <w:bodyDiv w:val="1"/>
      <w:marLeft w:val="0"/>
      <w:marRight w:val="0"/>
      <w:marTop w:val="0"/>
      <w:marBottom w:val="0"/>
      <w:divBdr>
        <w:top w:val="none" w:sz="0" w:space="0" w:color="auto"/>
        <w:left w:val="none" w:sz="0" w:space="0" w:color="auto"/>
        <w:bottom w:val="none" w:sz="0" w:space="0" w:color="auto"/>
        <w:right w:val="none" w:sz="0" w:space="0" w:color="auto"/>
      </w:divBdr>
    </w:div>
    <w:div w:id="1276903689">
      <w:bodyDiv w:val="1"/>
      <w:marLeft w:val="0"/>
      <w:marRight w:val="0"/>
      <w:marTop w:val="0"/>
      <w:marBottom w:val="0"/>
      <w:divBdr>
        <w:top w:val="none" w:sz="0" w:space="0" w:color="auto"/>
        <w:left w:val="none" w:sz="0" w:space="0" w:color="auto"/>
        <w:bottom w:val="none" w:sz="0" w:space="0" w:color="auto"/>
        <w:right w:val="none" w:sz="0" w:space="0" w:color="auto"/>
      </w:divBdr>
    </w:div>
    <w:div w:id="1317101653">
      <w:bodyDiv w:val="1"/>
      <w:marLeft w:val="0"/>
      <w:marRight w:val="0"/>
      <w:marTop w:val="0"/>
      <w:marBottom w:val="0"/>
      <w:divBdr>
        <w:top w:val="none" w:sz="0" w:space="0" w:color="auto"/>
        <w:left w:val="none" w:sz="0" w:space="0" w:color="auto"/>
        <w:bottom w:val="none" w:sz="0" w:space="0" w:color="auto"/>
        <w:right w:val="none" w:sz="0" w:space="0" w:color="auto"/>
      </w:divBdr>
    </w:div>
    <w:div w:id="1432894101">
      <w:bodyDiv w:val="1"/>
      <w:marLeft w:val="0"/>
      <w:marRight w:val="0"/>
      <w:marTop w:val="0"/>
      <w:marBottom w:val="0"/>
      <w:divBdr>
        <w:top w:val="none" w:sz="0" w:space="0" w:color="auto"/>
        <w:left w:val="none" w:sz="0" w:space="0" w:color="auto"/>
        <w:bottom w:val="none" w:sz="0" w:space="0" w:color="auto"/>
        <w:right w:val="none" w:sz="0" w:space="0" w:color="auto"/>
      </w:divBdr>
    </w:div>
    <w:div w:id="1499421015">
      <w:bodyDiv w:val="1"/>
      <w:marLeft w:val="0"/>
      <w:marRight w:val="0"/>
      <w:marTop w:val="0"/>
      <w:marBottom w:val="0"/>
      <w:divBdr>
        <w:top w:val="none" w:sz="0" w:space="0" w:color="auto"/>
        <w:left w:val="none" w:sz="0" w:space="0" w:color="auto"/>
        <w:bottom w:val="none" w:sz="0" w:space="0" w:color="auto"/>
        <w:right w:val="none" w:sz="0" w:space="0" w:color="auto"/>
      </w:divBdr>
    </w:div>
    <w:div w:id="1503004300">
      <w:bodyDiv w:val="1"/>
      <w:marLeft w:val="0"/>
      <w:marRight w:val="0"/>
      <w:marTop w:val="0"/>
      <w:marBottom w:val="0"/>
      <w:divBdr>
        <w:top w:val="none" w:sz="0" w:space="0" w:color="auto"/>
        <w:left w:val="none" w:sz="0" w:space="0" w:color="auto"/>
        <w:bottom w:val="none" w:sz="0" w:space="0" w:color="auto"/>
        <w:right w:val="none" w:sz="0" w:space="0" w:color="auto"/>
      </w:divBdr>
    </w:div>
    <w:div w:id="1532112798">
      <w:bodyDiv w:val="1"/>
      <w:marLeft w:val="0"/>
      <w:marRight w:val="0"/>
      <w:marTop w:val="0"/>
      <w:marBottom w:val="0"/>
      <w:divBdr>
        <w:top w:val="none" w:sz="0" w:space="0" w:color="auto"/>
        <w:left w:val="none" w:sz="0" w:space="0" w:color="auto"/>
        <w:bottom w:val="none" w:sz="0" w:space="0" w:color="auto"/>
        <w:right w:val="none" w:sz="0" w:space="0" w:color="auto"/>
      </w:divBdr>
    </w:div>
    <w:div w:id="1535724959">
      <w:bodyDiv w:val="1"/>
      <w:marLeft w:val="0"/>
      <w:marRight w:val="0"/>
      <w:marTop w:val="0"/>
      <w:marBottom w:val="0"/>
      <w:divBdr>
        <w:top w:val="none" w:sz="0" w:space="0" w:color="auto"/>
        <w:left w:val="none" w:sz="0" w:space="0" w:color="auto"/>
        <w:bottom w:val="none" w:sz="0" w:space="0" w:color="auto"/>
        <w:right w:val="none" w:sz="0" w:space="0" w:color="auto"/>
      </w:divBdr>
    </w:div>
    <w:div w:id="1540631488">
      <w:bodyDiv w:val="1"/>
      <w:marLeft w:val="0"/>
      <w:marRight w:val="0"/>
      <w:marTop w:val="0"/>
      <w:marBottom w:val="0"/>
      <w:divBdr>
        <w:top w:val="none" w:sz="0" w:space="0" w:color="auto"/>
        <w:left w:val="none" w:sz="0" w:space="0" w:color="auto"/>
        <w:bottom w:val="none" w:sz="0" w:space="0" w:color="auto"/>
        <w:right w:val="none" w:sz="0" w:space="0" w:color="auto"/>
      </w:divBdr>
    </w:div>
    <w:div w:id="1641768903">
      <w:bodyDiv w:val="1"/>
      <w:marLeft w:val="0"/>
      <w:marRight w:val="0"/>
      <w:marTop w:val="0"/>
      <w:marBottom w:val="0"/>
      <w:divBdr>
        <w:top w:val="none" w:sz="0" w:space="0" w:color="auto"/>
        <w:left w:val="none" w:sz="0" w:space="0" w:color="auto"/>
        <w:bottom w:val="none" w:sz="0" w:space="0" w:color="auto"/>
        <w:right w:val="none" w:sz="0" w:space="0" w:color="auto"/>
      </w:divBdr>
    </w:div>
    <w:div w:id="1700818758">
      <w:bodyDiv w:val="1"/>
      <w:marLeft w:val="0"/>
      <w:marRight w:val="0"/>
      <w:marTop w:val="0"/>
      <w:marBottom w:val="0"/>
      <w:divBdr>
        <w:top w:val="none" w:sz="0" w:space="0" w:color="auto"/>
        <w:left w:val="none" w:sz="0" w:space="0" w:color="auto"/>
        <w:bottom w:val="none" w:sz="0" w:space="0" w:color="auto"/>
        <w:right w:val="none" w:sz="0" w:space="0" w:color="auto"/>
      </w:divBdr>
    </w:div>
    <w:div w:id="1701859877">
      <w:bodyDiv w:val="1"/>
      <w:marLeft w:val="0"/>
      <w:marRight w:val="0"/>
      <w:marTop w:val="0"/>
      <w:marBottom w:val="0"/>
      <w:divBdr>
        <w:top w:val="none" w:sz="0" w:space="0" w:color="auto"/>
        <w:left w:val="none" w:sz="0" w:space="0" w:color="auto"/>
        <w:bottom w:val="none" w:sz="0" w:space="0" w:color="auto"/>
        <w:right w:val="none" w:sz="0" w:space="0" w:color="auto"/>
      </w:divBdr>
    </w:div>
    <w:div w:id="1755123641">
      <w:bodyDiv w:val="1"/>
      <w:marLeft w:val="0"/>
      <w:marRight w:val="0"/>
      <w:marTop w:val="0"/>
      <w:marBottom w:val="0"/>
      <w:divBdr>
        <w:top w:val="none" w:sz="0" w:space="0" w:color="auto"/>
        <w:left w:val="none" w:sz="0" w:space="0" w:color="auto"/>
        <w:bottom w:val="none" w:sz="0" w:space="0" w:color="auto"/>
        <w:right w:val="none" w:sz="0" w:space="0" w:color="auto"/>
      </w:divBdr>
      <w:divsChild>
        <w:div w:id="901452964">
          <w:marLeft w:val="0"/>
          <w:marRight w:val="0"/>
          <w:marTop w:val="0"/>
          <w:marBottom w:val="0"/>
          <w:divBdr>
            <w:top w:val="none" w:sz="0" w:space="0" w:color="auto"/>
            <w:left w:val="none" w:sz="0" w:space="0" w:color="auto"/>
            <w:bottom w:val="none" w:sz="0" w:space="0" w:color="auto"/>
            <w:right w:val="none" w:sz="0" w:space="0" w:color="auto"/>
          </w:divBdr>
          <w:divsChild>
            <w:div w:id="16781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0219">
      <w:bodyDiv w:val="1"/>
      <w:marLeft w:val="0"/>
      <w:marRight w:val="0"/>
      <w:marTop w:val="0"/>
      <w:marBottom w:val="0"/>
      <w:divBdr>
        <w:top w:val="none" w:sz="0" w:space="0" w:color="auto"/>
        <w:left w:val="none" w:sz="0" w:space="0" w:color="auto"/>
        <w:bottom w:val="none" w:sz="0" w:space="0" w:color="auto"/>
        <w:right w:val="none" w:sz="0" w:space="0" w:color="auto"/>
      </w:divBdr>
    </w:div>
    <w:div w:id="1767916537">
      <w:bodyDiv w:val="1"/>
      <w:marLeft w:val="0"/>
      <w:marRight w:val="0"/>
      <w:marTop w:val="0"/>
      <w:marBottom w:val="0"/>
      <w:divBdr>
        <w:top w:val="none" w:sz="0" w:space="0" w:color="auto"/>
        <w:left w:val="none" w:sz="0" w:space="0" w:color="auto"/>
        <w:bottom w:val="none" w:sz="0" w:space="0" w:color="auto"/>
        <w:right w:val="none" w:sz="0" w:space="0" w:color="auto"/>
      </w:divBdr>
    </w:div>
    <w:div w:id="1768427573">
      <w:bodyDiv w:val="1"/>
      <w:marLeft w:val="0"/>
      <w:marRight w:val="0"/>
      <w:marTop w:val="0"/>
      <w:marBottom w:val="0"/>
      <w:divBdr>
        <w:top w:val="none" w:sz="0" w:space="0" w:color="auto"/>
        <w:left w:val="none" w:sz="0" w:space="0" w:color="auto"/>
        <w:bottom w:val="none" w:sz="0" w:space="0" w:color="auto"/>
        <w:right w:val="none" w:sz="0" w:space="0" w:color="auto"/>
      </w:divBdr>
    </w:div>
    <w:div w:id="1776169805">
      <w:bodyDiv w:val="1"/>
      <w:marLeft w:val="0"/>
      <w:marRight w:val="0"/>
      <w:marTop w:val="0"/>
      <w:marBottom w:val="0"/>
      <w:divBdr>
        <w:top w:val="none" w:sz="0" w:space="0" w:color="auto"/>
        <w:left w:val="none" w:sz="0" w:space="0" w:color="auto"/>
        <w:bottom w:val="none" w:sz="0" w:space="0" w:color="auto"/>
        <w:right w:val="none" w:sz="0" w:space="0" w:color="auto"/>
      </w:divBdr>
    </w:div>
    <w:div w:id="1851484797">
      <w:bodyDiv w:val="1"/>
      <w:marLeft w:val="0"/>
      <w:marRight w:val="0"/>
      <w:marTop w:val="0"/>
      <w:marBottom w:val="0"/>
      <w:divBdr>
        <w:top w:val="none" w:sz="0" w:space="0" w:color="auto"/>
        <w:left w:val="none" w:sz="0" w:space="0" w:color="auto"/>
        <w:bottom w:val="none" w:sz="0" w:space="0" w:color="auto"/>
        <w:right w:val="none" w:sz="0" w:space="0" w:color="auto"/>
      </w:divBdr>
    </w:div>
    <w:div w:id="1874150796">
      <w:bodyDiv w:val="1"/>
      <w:marLeft w:val="0"/>
      <w:marRight w:val="0"/>
      <w:marTop w:val="0"/>
      <w:marBottom w:val="0"/>
      <w:divBdr>
        <w:top w:val="none" w:sz="0" w:space="0" w:color="auto"/>
        <w:left w:val="none" w:sz="0" w:space="0" w:color="auto"/>
        <w:bottom w:val="none" w:sz="0" w:space="0" w:color="auto"/>
        <w:right w:val="none" w:sz="0" w:space="0" w:color="auto"/>
      </w:divBdr>
    </w:div>
    <w:div w:id="1889489451">
      <w:bodyDiv w:val="1"/>
      <w:marLeft w:val="0"/>
      <w:marRight w:val="0"/>
      <w:marTop w:val="0"/>
      <w:marBottom w:val="0"/>
      <w:divBdr>
        <w:top w:val="none" w:sz="0" w:space="0" w:color="auto"/>
        <w:left w:val="none" w:sz="0" w:space="0" w:color="auto"/>
        <w:bottom w:val="none" w:sz="0" w:space="0" w:color="auto"/>
        <w:right w:val="none" w:sz="0" w:space="0" w:color="auto"/>
      </w:divBdr>
    </w:div>
    <w:div w:id="1988824320">
      <w:bodyDiv w:val="1"/>
      <w:marLeft w:val="0"/>
      <w:marRight w:val="0"/>
      <w:marTop w:val="0"/>
      <w:marBottom w:val="0"/>
      <w:divBdr>
        <w:top w:val="none" w:sz="0" w:space="0" w:color="auto"/>
        <w:left w:val="none" w:sz="0" w:space="0" w:color="auto"/>
        <w:bottom w:val="none" w:sz="0" w:space="0" w:color="auto"/>
        <w:right w:val="none" w:sz="0" w:space="0" w:color="auto"/>
      </w:divBdr>
    </w:div>
    <w:div w:id="2082286982">
      <w:bodyDiv w:val="1"/>
      <w:marLeft w:val="0"/>
      <w:marRight w:val="0"/>
      <w:marTop w:val="0"/>
      <w:marBottom w:val="0"/>
      <w:divBdr>
        <w:top w:val="none" w:sz="0" w:space="0" w:color="auto"/>
        <w:left w:val="none" w:sz="0" w:space="0" w:color="auto"/>
        <w:bottom w:val="none" w:sz="0" w:space="0" w:color="auto"/>
        <w:right w:val="none" w:sz="0" w:space="0" w:color="auto"/>
      </w:divBdr>
    </w:div>
    <w:div w:id="2097705955">
      <w:bodyDiv w:val="1"/>
      <w:marLeft w:val="0"/>
      <w:marRight w:val="0"/>
      <w:marTop w:val="0"/>
      <w:marBottom w:val="0"/>
      <w:divBdr>
        <w:top w:val="none" w:sz="0" w:space="0" w:color="auto"/>
        <w:left w:val="none" w:sz="0" w:space="0" w:color="auto"/>
        <w:bottom w:val="none" w:sz="0" w:space="0" w:color="auto"/>
        <w:right w:val="none" w:sz="0" w:space="0" w:color="auto"/>
      </w:divBdr>
      <w:divsChild>
        <w:div w:id="306321323">
          <w:marLeft w:val="0"/>
          <w:marRight w:val="0"/>
          <w:marTop w:val="0"/>
          <w:marBottom w:val="0"/>
          <w:divBdr>
            <w:top w:val="none" w:sz="0" w:space="0" w:color="auto"/>
            <w:left w:val="none" w:sz="0" w:space="0" w:color="auto"/>
            <w:bottom w:val="none" w:sz="0" w:space="0" w:color="auto"/>
            <w:right w:val="none" w:sz="0" w:space="0" w:color="auto"/>
          </w:divBdr>
        </w:div>
        <w:div w:id="473834343">
          <w:marLeft w:val="0"/>
          <w:marRight w:val="0"/>
          <w:marTop w:val="0"/>
          <w:marBottom w:val="0"/>
          <w:divBdr>
            <w:top w:val="none" w:sz="0" w:space="0" w:color="auto"/>
            <w:left w:val="none" w:sz="0" w:space="0" w:color="auto"/>
            <w:bottom w:val="none" w:sz="0" w:space="0" w:color="auto"/>
            <w:right w:val="none" w:sz="0" w:space="0" w:color="auto"/>
          </w:divBdr>
        </w:div>
        <w:div w:id="717777770">
          <w:marLeft w:val="0"/>
          <w:marRight w:val="0"/>
          <w:marTop w:val="0"/>
          <w:marBottom w:val="0"/>
          <w:divBdr>
            <w:top w:val="none" w:sz="0" w:space="0" w:color="auto"/>
            <w:left w:val="none" w:sz="0" w:space="0" w:color="auto"/>
            <w:bottom w:val="none" w:sz="0" w:space="0" w:color="auto"/>
            <w:right w:val="none" w:sz="0" w:space="0" w:color="auto"/>
          </w:divBdr>
        </w:div>
        <w:div w:id="2014256744">
          <w:marLeft w:val="0"/>
          <w:marRight w:val="0"/>
          <w:marTop w:val="0"/>
          <w:marBottom w:val="0"/>
          <w:divBdr>
            <w:top w:val="none" w:sz="0" w:space="0" w:color="auto"/>
            <w:left w:val="none" w:sz="0" w:space="0" w:color="auto"/>
            <w:bottom w:val="none" w:sz="0" w:space="0" w:color="auto"/>
            <w:right w:val="none" w:sz="0" w:space="0" w:color="auto"/>
          </w:divBdr>
        </w:div>
      </w:divsChild>
    </w:div>
    <w:div w:id="21120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www.cinov.fr" TargetMode="External"/><Relationship Id="rId47" Type="http://schemas.openxmlformats.org/officeDocument/2006/relationships/hyperlink" Target="http://www.andsi.fr" TargetMode="External"/><Relationship Id="rId63" Type="http://schemas.openxmlformats.org/officeDocument/2006/relationships/hyperlink" Target="http://www.lemagit.fr" TargetMode="External"/><Relationship Id="rId68" Type="http://schemas.openxmlformats.org/officeDocument/2006/relationships/hyperlink" Target="http://www.channelbiz.fr" TargetMode="External"/><Relationship Id="rId84" Type="http://schemas.openxmlformats.org/officeDocument/2006/relationships/image" Target="media/image22.png"/><Relationship Id="rId89" Type="http://schemas.openxmlformats.org/officeDocument/2006/relationships/header" Target="header2.xml"/><Relationship Id="rId16" Type="http://schemas.openxmlformats.org/officeDocument/2006/relationships/image" Target="media/image1.emf"/><Relationship Id="rId11" Type="http://schemas.openxmlformats.org/officeDocument/2006/relationships/diagramData" Target="diagrams/data1.xml"/><Relationship Id="rId32" Type="http://schemas.openxmlformats.org/officeDocument/2006/relationships/image" Target="media/image17.png"/><Relationship Id="rId37" Type="http://schemas.openxmlformats.org/officeDocument/2006/relationships/diagramQuickStyle" Target="diagrams/quickStyle2.xml"/><Relationship Id="rId53" Type="http://schemas.openxmlformats.org/officeDocument/2006/relationships/hyperlink" Target="http://www.cnil.fr" TargetMode="External"/><Relationship Id="rId58" Type="http://schemas.openxmlformats.org/officeDocument/2006/relationships/hyperlink" Target="http://www.journaldunet.com" TargetMode="External"/><Relationship Id="rId74" Type="http://schemas.openxmlformats.org/officeDocument/2006/relationships/hyperlink" Target="http://www.lemondeinformatique.fr/agenda" TargetMode="External"/><Relationship Id="rId79" Type="http://schemas.openxmlformats.org/officeDocument/2006/relationships/hyperlink" Target="http://www.apmanagement.fr"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diagramColors" Target="diagrams/colors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Data" Target="diagrams/data2.xml"/><Relationship Id="rId43" Type="http://schemas.openxmlformats.org/officeDocument/2006/relationships/hyperlink" Target="http://www.munci.org" TargetMode="External"/><Relationship Id="rId48" Type="http://schemas.openxmlformats.org/officeDocument/2006/relationships/hyperlink" Target="http://www.anif.fr" TargetMode="External"/><Relationship Id="rId56" Type="http://schemas.openxmlformats.org/officeDocument/2006/relationships/hyperlink" Target="http://www.usine-digitale.fr" TargetMode="External"/><Relationship Id="rId64" Type="http://schemas.openxmlformats.org/officeDocument/2006/relationships/hyperlink" Target="http://www.reseaux-telecoms.net" TargetMode="External"/><Relationship Id="rId69" Type="http://schemas.openxmlformats.org/officeDocument/2006/relationships/hyperlink" Target="http://www.infodsi.com" TargetMode="External"/><Relationship Id="rId77" Type="http://schemas.openxmlformats.org/officeDocument/2006/relationships/hyperlink" Target="http://www.markess.fr" TargetMode="External"/><Relationship Id="rId8" Type="http://schemas.openxmlformats.org/officeDocument/2006/relationships/endnotes" Target="endnotes.xml"/><Relationship Id="rId51" Type="http://schemas.openxmlformats.org/officeDocument/2006/relationships/hyperlink" Target="http://app.legalis.net" TargetMode="External"/><Relationship Id="rId72" Type="http://schemas.openxmlformats.org/officeDocument/2006/relationships/hyperlink" Target="http://www.salondunumerique.com" TargetMode="External"/><Relationship Id="rId80" Type="http://schemas.openxmlformats.org/officeDocument/2006/relationships/hyperlink" Target="http://www.firmalliance.com" TargetMode="External"/><Relationship Id="rId85"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diagramColors" Target="diagrams/colors2.xml"/><Relationship Id="rId46" Type="http://schemas.openxmlformats.org/officeDocument/2006/relationships/hyperlink" Target="http://www.cigref.fr" TargetMode="External"/><Relationship Id="rId59" Type="http://schemas.openxmlformats.org/officeDocument/2006/relationships/hyperlink" Target="http://www.journaldunet.com/solutions" TargetMode="External"/><Relationship Id="rId67" Type="http://schemas.openxmlformats.org/officeDocument/2006/relationships/hyperlink" Target="http://www.ipresse.net" TargetMode="External"/><Relationship Id="rId20" Type="http://schemas.openxmlformats.org/officeDocument/2006/relationships/image" Target="media/image5.png"/><Relationship Id="rId41" Type="http://schemas.openxmlformats.org/officeDocument/2006/relationships/hyperlink" Target="http://www.syntec-numerique.fr" TargetMode="External"/><Relationship Id="rId54" Type="http://schemas.openxmlformats.org/officeDocument/2006/relationships/hyperlink" Target="http://www.lemondeinformatique.fr" TargetMode="External"/><Relationship Id="rId62" Type="http://schemas.openxmlformats.org/officeDocument/2006/relationships/hyperlink" Target="http://www.solutions-logiciels.com" TargetMode="External"/><Relationship Id="rId70" Type="http://schemas.openxmlformats.org/officeDocument/2006/relationships/hyperlink" Target="http://www.itforbusiness.fr" TargetMode="External"/><Relationship Id="rId75" Type="http://schemas.openxmlformats.org/officeDocument/2006/relationships/hyperlink" Target="http://www.pac-online.com" TargetMode="External"/><Relationship Id="rId83" Type="http://schemas.openxmlformats.org/officeDocument/2006/relationships/image" Target="media/image21.png"/><Relationship Id="rId88" Type="http://schemas.openxmlformats.org/officeDocument/2006/relationships/footer" Target="foot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Layout" Target="diagrams/layout2.xml"/><Relationship Id="rId49" Type="http://schemas.openxmlformats.org/officeDocument/2006/relationships/hyperlink" Target="http://www.geicet.com/commissions.html" TargetMode="External"/><Relationship Id="rId57" Type="http://schemas.openxmlformats.org/officeDocument/2006/relationships/hyperlink" Target="http://www.01net.com" TargetMode="External"/><Relationship Id="rId10" Type="http://schemas.openxmlformats.org/officeDocument/2006/relationships/hyperlink" Target="http://www.mohamedelafrit.com/ept204" TargetMode="External"/><Relationship Id="rId31" Type="http://schemas.openxmlformats.org/officeDocument/2006/relationships/image" Target="media/image16.png"/><Relationship Id="rId44" Type="http://schemas.openxmlformats.org/officeDocument/2006/relationships/hyperlink" Target="http://www.gpni.com" TargetMode="External"/><Relationship Id="rId52" Type="http://schemas.openxmlformats.org/officeDocument/2006/relationships/hyperlink" Target="http://www.inria.fr" TargetMode="External"/><Relationship Id="rId60" Type="http://schemas.openxmlformats.org/officeDocument/2006/relationships/hyperlink" Target="http://www.distributique.com" TargetMode="External"/><Relationship Id="rId65" Type="http://schemas.openxmlformats.org/officeDocument/2006/relationships/hyperlink" Target="http://www.itrmanager.com" TargetMode="External"/><Relationship Id="rId73" Type="http://schemas.openxmlformats.org/officeDocument/2006/relationships/hyperlink" Target="http://www.salon-entre-pros.fr/salon-informatique-professionnel" TargetMode="External"/><Relationship Id="rId78" Type="http://schemas.openxmlformats.org/officeDocument/2006/relationships/hyperlink" Target="http://www.gartner.com" TargetMode="External"/><Relationship Id="rId81" Type="http://schemas.openxmlformats.org/officeDocument/2006/relationships/hyperlink" Target="http://www.competitivite.gouv.fr" TargetMode="External"/><Relationship Id="rId86" Type="http://schemas.openxmlformats.org/officeDocument/2006/relationships/image" Target="media/image24.png"/><Relationship Id="rId4" Type="http://schemas.openxmlformats.org/officeDocument/2006/relationships/styles" Target="styles.xml"/><Relationship Id="rId9" Type="http://schemas.openxmlformats.org/officeDocument/2006/relationships/hyperlink" Target="http://www.mohamedelafrit.com/ept204" TargetMode="External"/><Relationship Id="rId13" Type="http://schemas.openxmlformats.org/officeDocument/2006/relationships/diagramQuickStyle" Target="diagrams/quickStyle1.xml"/><Relationship Id="rId18" Type="http://schemas.openxmlformats.org/officeDocument/2006/relationships/image" Target="media/image3.png"/><Relationship Id="rId39" Type="http://schemas.microsoft.com/office/2007/relationships/diagramDrawing" Target="diagrams/drawing2.xml"/><Relationship Id="rId34" Type="http://schemas.openxmlformats.org/officeDocument/2006/relationships/image" Target="media/image19.png"/><Relationship Id="rId50" Type="http://schemas.openxmlformats.org/officeDocument/2006/relationships/hyperlink" Target="http://www.idate.org" TargetMode="External"/><Relationship Id="rId55" Type="http://schemas.openxmlformats.org/officeDocument/2006/relationships/hyperlink" Target="http://www.lemondeducloud.fr" TargetMode="External"/><Relationship Id="rId76" Type="http://schemas.openxmlformats.org/officeDocument/2006/relationships/hyperlink" Target="http://www.forrester.com" TargetMode="External"/><Relationship Id="rId7" Type="http://schemas.openxmlformats.org/officeDocument/2006/relationships/footnotes" Target="footnotes.xml"/><Relationship Id="rId71" Type="http://schemas.openxmlformats.org/officeDocument/2006/relationships/hyperlink" Target="http://www.larevuedudigital.co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www.dgcis.fr" TargetMode="External"/><Relationship Id="rId45" Type="http://schemas.openxmlformats.org/officeDocument/2006/relationships/hyperlink" Target="http://www.gun.asso.fr" TargetMode="External"/><Relationship Id="rId66" Type="http://schemas.openxmlformats.org/officeDocument/2006/relationships/hyperlink" Target="http://www.cio-online.com" TargetMode="External"/><Relationship Id="rId87" Type="http://schemas.openxmlformats.org/officeDocument/2006/relationships/header" Target="header1.xml"/><Relationship Id="rId61" Type="http://schemas.openxmlformats.org/officeDocument/2006/relationships/hyperlink" Target="http://www.znet.fr" TargetMode="External"/><Relationship Id="rId82" Type="http://schemas.openxmlformats.org/officeDocument/2006/relationships/image" Target="media/image20.png"/><Relationship Id="rId19"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ssagnetje\My%20Documents\Mod&#232;le%20DSE.dot"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C7FCAA-0BF9-4DF9-AC30-8F04DE1A78F7}"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fr-FR"/>
        </a:p>
      </dgm:t>
    </dgm:pt>
    <dgm:pt modelId="{DD955BB4-6475-4DB8-A50C-E54FD3961FD9}">
      <dgm:prSet phldrT="[Texte]" custT="1"/>
      <dgm:spPr/>
      <dgm:t>
        <a:bodyPr/>
        <a:lstStyle/>
        <a:p>
          <a:r>
            <a:rPr lang="fr-FR" sz="1200"/>
            <a:t>Section</a:t>
          </a:r>
          <a:r>
            <a:rPr lang="fr-FR" sz="1200" b="1"/>
            <a:t>: J</a:t>
          </a:r>
        </a:p>
      </dgm:t>
    </dgm:pt>
    <dgm:pt modelId="{8EE3CE9C-7282-4E5E-9FFF-A6F26A362650}" type="parTrans" cxnId="{D6334286-FDB5-4AE9-A0CC-95ADBC8A9F40}">
      <dgm:prSet/>
      <dgm:spPr/>
      <dgm:t>
        <a:bodyPr/>
        <a:lstStyle/>
        <a:p>
          <a:endParaRPr lang="fr-FR"/>
        </a:p>
      </dgm:t>
    </dgm:pt>
    <dgm:pt modelId="{13F0C066-0A94-4D55-90B6-DA5CE68CC76E}" type="sibTrans" cxnId="{D6334286-FDB5-4AE9-A0CC-95ADBC8A9F40}">
      <dgm:prSet/>
      <dgm:spPr/>
      <dgm:t>
        <a:bodyPr/>
        <a:lstStyle/>
        <a:p>
          <a:endParaRPr lang="fr-FR"/>
        </a:p>
      </dgm:t>
    </dgm:pt>
    <dgm:pt modelId="{2AFBCA29-63B7-4FFD-99A3-D6C862022AAA}">
      <dgm:prSet phldrT="[Texte]" custT="1"/>
      <dgm:spPr/>
      <dgm:t>
        <a:bodyPr/>
        <a:lstStyle/>
        <a:p>
          <a:r>
            <a:rPr lang="fr-FR" sz="1200" b="0" i="0"/>
            <a:t>Information et communication</a:t>
          </a:r>
          <a:endParaRPr lang="fr-FR" sz="1200" b="0"/>
        </a:p>
      </dgm:t>
    </dgm:pt>
    <dgm:pt modelId="{2275DFC3-47B5-41D5-9CD1-588F8094EE53}" type="parTrans" cxnId="{E89A5099-1D3D-4914-90B6-1967654CAA5F}">
      <dgm:prSet/>
      <dgm:spPr/>
      <dgm:t>
        <a:bodyPr/>
        <a:lstStyle/>
        <a:p>
          <a:endParaRPr lang="fr-FR"/>
        </a:p>
      </dgm:t>
    </dgm:pt>
    <dgm:pt modelId="{9B4D0D28-068F-463E-999D-D6D4FCF0E2F4}" type="sibTrans" cxnId="{E89A5099-1D3D-4914-90B6-1967654CAA5F}">
      <dgm:prSet/>
      <dgm:spPr/>
      <dgm:t>
        <a:bodyPr/>
        <a:lstStyle/>
        <a:p>
          <a:endParaRPr lang="fr-FR"/>
        </a:p>
      </dgm:t>
    </dgm:pt>
    <dgm:pt modelId="{FC756F5C-05EC-4C19-A5B9-A377A418CD66}">
      <dgm:prSet phldrT="[Texte]" custT="1"/>
      <dgm:spPr/>
      <dgm:t>
        <a:bodyPr/>
        <a:lstStyle/>
        <a:p>
          <a:r>
            <a:rPr lang="fr-FR" sz="1200"/>
            <a:t>Division: </a:t>
          </a:r>
          <a:r>
            <a:rPr lang="fr-FR" sz="1200" b="1"/>
            <a:t>62</a:t>
          </a:r>
        </a:p>
      </dgm:t>
    </dgm:pt>
    <dgm:pt modelId="{490977DE-6AE3-4838-96D5-21E4E62C9BE8}" type="parTrans" cxnId="{FC4FAF77-A529-471A-8AF7-4DBE787EE474}">
      <dgm:prSet/>
      <dgm:spPr/>
      <dgm:t>
        <a:bodyPr/>
        <a:lstStyle/>
        <a:p>
          <a:endParaRPr lang="fr-FR"/>
        </a:p>
      </dgm:t>
    </dgm:pt>
    <dgm:pt modelId="{AD90D8D3-243D-48FA-905B-FF3B7BC77B78}" type="sibTrans" cxnId="{FC4FAF77-A529-471A-8AF7-4DBE787EE474}">
      <dgm:prSet/>
      <dgm:spPr/>
      <dgm:t>
        <a:bodyPr/>
        <a:lstStyle/>
        <a:p>
          <a:endParaRPr lang="fr-FR"/>
        </a:p>
      </dgm:t>
    </dgm:pt>
    <dgm:pt modelId="{7518DB72-F0C4-4B4D-A7EA-A1D2FF0C1238}">
      <dgm:prSet phldrT="[Texte]" custT="1"/>
      <dgm:spPr/>
      <dgm:t>
        <a:bodyPr/>
        <a:lstStyle/>
        <a:p>
          <a:r>
            <a:rPr lang="fr-FR" sz="1200" b="0" i="0"/>
            <a:t>Programmation, conseil et autres activités informatiques</a:t>
          </a:r>
          <a:endParaRPr lang="fr-FR" sz="1200" b="0"/>
        </a:p>
      </dgm:t>
    </dgm:pt>
    <dgm:pt modelId="{9C876C29-49BF-4D1A-8F78-3286B817FE3C}" type="parTrans" cxnId="{B4C47DAC-0002-4B2B-956C-56F21E93D497}">
      <dgm:prSet/>
      <dgm:spPr/>
      <dgm:t>
        <a:bodyPr/>
        <a:lstStyle/>
        <a:p>
          <a:endParaRPr lang="fr-FR"/>
        </a:p>
      </dgm:t>
    </dgm:pt>
    <dgm:pt modelId="{272EB0F1-4F0B-4921-A2E5-9A843136EBBF}" type="sibTrans" cxnId="{B4C47DAC-0002-4B2B-956C-56F21E93D497}">
      <dgm:prSet/>
      <dgm:spPr/>
      <dgm:t>
        <a:bodyPr/>
        <a:lstStyle/>
        <a:p>
          <a:endParaRPr lang="fr-FR"/>
        </a:p>
      </dgm:t>
    </dgm:pt>
    <dgm:pt modelId="{09847663-ECFD-4973-B435-543EE830B357}">
      <dgm:prSet phldrT="[Texte]" custT="1"/>
      <dgm:spPr/>
      <dgm:t>
        <a:bodyPr/>
        <a:lstStyle/>
        <a:p>
          <a:r>
            <a:rPr lang="fr-FR" sz="1200"/>
            <a:t>Groupe: </a:t>
          </a:r>
          <a:r>
            <a:rPr lang="fr-FR" sz="1200" b="1"/>
            <a:t>62.0</a:t>
          </a:r>
        </a:p>
      </dgm:t>
    </dgm:pt>
    <dgm:pt modelId="{B9DF5125-2D73-45F2-8BDC-F60900542446}" type="parTrans" cxnId="{CD961B21-EB78-4E33-BA54-DC9BDC767FE7}">
      <dgm:prSet/>
      <dgm:spPr/>
      <dgm:t>
        <a:bodyPr/>
        <a:lstStyle/>
        <a:p>
          <a:endParaRPr lang="fr-FR"/>
        </a:p>
      </dgm:t>
    </dgm:pt>
    <dgm:pt modelId="{15EBC1D6-9BF8-4120-BFC3-313DAE536BCC}" type="sibTrans" cxnId="{CD961B21-EB78-4E33-BA54-DC9BDC767FE7}">
      <dgm:prSet/>
      <dgm:spPr/>
      <dgm:t>
        <a:bodyPr/>
        <a:lstStyle/>
        <a:p>
          <a:endParaRPr lang="fr-FR"/>
        </a:p>
      </dgm:t>
    </dgm:pt>
    <dgm:pt modelId="{B6D3EF0F-AE8C-4683-8F45-92A5DB1E2EB2}">
      <dgm:prSet phldrT="[Texte]" custT="1"/>
      <dgm:spPr/>
      <dgm:t>
        <a:bodyPr/>
        <a:lstStyle/>
        <a:p>
          <a:r>
            <a:rPr lang="fr-FR" sz="1200"/>
            <a:t>Sous classe: </a:t>
          </a:r>
          <a:r>
            <a:rPr lang="fr-FR" sz="1200" b="1"/>
            <a:t>62.02.A</a:t>
          </a:r>
        </a:p>
      </dgm:t>
    </dgm:pt>
    <dgm:pt modelId="{78A3DE69-A58E-411D-85DA-E7861C9AE3FD}" type="parTrans" cxnId="{15341968-10B2-4E94-AAA9-DE6E64831679}">
      <dgm:prSet/>
      <dgm:spPr/>
      <dgm:t>
        <a:bodyPr/>
        <a:lstStyle/>
        <a:p>
          <a:endParaRPr lang="fr-FR"/>
        </a:p>
      </dgm:t>
    </dgm:pt>
    <dgm:pt modelId="{99CD4DD6-8E73-4379-AC22-E26DF693DAE8}" type="sibTrans" cxnId="{15341968-10B2-4E94-AAA9-DE6E64831679}">
      <dgm:prSet/>
      <dgm:spPr/>
      <dgm:t>
        <a:bodyPr/>
        <a:lstStyle/>
        <a:p>
          <a:endParaRPr lang="fr-FR"/>
        </a:p>
      </dgm:t>
    </dgm:pt>
    <dgm:pt modelId="{E7FD1F1D-3C12-4D7B-8123-D23F0A70795E}">
      <dgm:prSet phldrT="[Texte]" custT="1"/>
      <dgm:spPr/>
      <dgm:t>
        <a:bodyPr/>
        <a:lstStyle/>
        <a:p>
          <a:r>
            <a:rPr lang="fr-FR" sz="1200"/>
            <a:t>Classe: </a:t>
          </a:r>
          <a:r>
            <a:rPr lang="fr-FR" sz="1200" b="1"/>
            <a:t>62.02</a:t>
          </a:r>
        </a:p>
      </dgm:t>
    </dgm:pt>
    <dgm:pt modelId="{4CA470ED-A7EF-4151-B595-03E3AC7A44FD}" type="parTrans" cxnId="{CEB0023C-E66D-4D66-9599-484E78606FDD}">
      <dgm:prSet/>
      <dgm:spPr/>
      <dgm:t>
        <a:bodyPr/>
        <a:lstStyle/>
        <a:p>
          <a:endParaRPr lang="fr-FR"/>
        </a:p>
      </dgm:t>
    </dgm:pt>
    <dgm:pt modelId="{7FAE8C27-2560-4144-9371-B989659EBE36}" type="sibTrans" cxnId="{CEB0023C-E66D-4D66-9599-484E78606FDD}">
      <dgm:prSet/>
      <dgm:spPr/>
      <dgm:t>
        <a:bodyPr/>
        <a:lstStyle/>
        <a:p>
          <a:endParaRPr lang="fr-FR"/>
        </a:p>
      </dgm:t>
    </dgm:pt>
    <dgm:pt modelId="{48C1D1D2-9209-47C6-B51A-25C1BA543224}">
      <dgm:prSet phldrT="[Texte]" custT="1"/>
      <dgm:spPr/>
      <dgm:t>
        <a:bodyPr/>
        <a:lstStyle/>
        <a:p>
          <a:r>
            <a:rPr lang="fr-FR" sz="1200" b="0" i="0"/>
            <a:t>Programmation, conseil et autres activités informatiques</a:t>
          </a:r>
          <a:endParaRPr lang="fr-FR" sz="1200" b="0"/>
        </a:p>
      </dgm:t>
    </dgm:pt>
    <dgm:pt modelId="{37F26413-3101-4A87-A285-0DF2B7CC5D0B}" type="parTrans" cxnId="{810542F8-E5A0-4B02-AC0C-D8E0E3E9F233}">
      <dgm:prSet/>
      <dgm:spPr/>
      <dgm:t>
        <a:bodyPr/>
        <a:lstStyle/>
        <a:p>
          <a:endParaRPr lang="fr-FR"/>
        </a:p>
      </dgm:t>
    </dgm:pt>
    <dgm:pt modelId="{4041B0B6-6C88-4FD5-9E0A-6C17D136CB5C}" type="sibTrans" cxnId="{810542F8-E5A0-4B02-AC0C-D8E0E3E9F233}">
      <dgm:prSet/>
      <dgm:spPr/>
      <dgm:t>
        <a:bodyPr/>
        <a:lstStyle/>
        <a:p>
          <a:endParaRPr lang="fr-FR"/>
        </a:p>
      </dgm:t>
    </dgm:pt>
    <dgm:pt modelId="{08CCD6A0-D3F5-4E6D-B883-1B4C766FF124}">
      <dgm:prSet phldrT="[Texte]" custT="1"/>
      <dgm:spPr/>
      <dgm:t>
        <a:bodyPr/>
        <a:lstStyle/>
        <a:p>
          <a:r>
            <a:rPr lang="fr-FR" sz="1200" b="0" i="0"/>
            <a:t>Conseil informatique</a:t>
          </a:r>
          <a:endParaRPr lang="fr-FR" sz="1200" b="0"/>
        </a:p>
      </dgm:t>
    </dgm:pt>
    <dgm:pt modelId="{5BAC653A-8AF9-4749-9C56-BEA958C11A43}" type="parTrans" cxnId="{93DE7DE0-3558-4B87-87AA-65BB09B5F2EA}">
      <dgm:prSet/>
      <dgm:spPr/>
      <dgm:t>
        <a:bodyPr/>
        <a:lstStyle/>
        <a:p>
          <a:endParaRPr lang="fr-FR"/>
        </a:p>
      </dgm:t>
    </dgm:pt>
    <dgm:pt modelId="{8FBD15C8-FD2F-4BDE-93F7-EBC3156A8F67}" type="sibTrans" cxnId="{93DE7DE0-3558-4B87-87AA-65BB09B5F2EA}">
      <dgm:prSet/>
      <dgm:spPr/>
      <dgm:t>
        <a:bodyPr/>
        <a:lstStyle/>
        <a:p>
          <a:endParaRPr lang="fr-FR"/>
        </a:p>
      </dgm:t>
    </dgm:pt>
    <dgm:pt modelId="{1B3FEF6E-A623-47DA-BB04-913A3DA819E0}">
      <dgm:prSet phldrT="[Texte]" custT="1"/>
      <dgm:spPr/>
      <dgm:t>
        <a:bodyPr/>
        <a:lstStyle/>
        <a:p>
          <a:pPr algn="l"/>
          <a:r>
            <a:rPr lang="fr-FR" sz="1200" b="0" i="0"/>
            <a:t>Conseil en systèmes et logiciels informatiques</a:t>
          </a:r>
          <a:endParaRPr lang="fr-FR" sz="1200" b="0"/>
        </a:p>
      </dgm:t>
    </dgm:pt>
    <dgm:pt modelId="{91A94F2A-DB26-4DF0-B41F-7725AC5C3C41}" type="parTrans" cxnId="{22BFC048-713E-4ED9-B073-DC08B423444E}">
      <dgm:prSet/>
      <dgm:spPr/>
      <dgm:t>
        <a:bodyPr/>
        <a:lstStyle/>
        <a:p>
          <a:endParaRPr lang="fr-FR"/>
        </a:p>
      </dgm:t>
    </dgm:pt>
    <dgm:pt modelId="{D50D824F-D762-40D0-9D6B-6EEC86BEA12A}" type="sibTrans" cxnId="{22BFC048-713E-4ED9-B073-DC08B423444E}">
      <dgm:prSet/>
      <dgm:spPr/>
      <dgm:t>
        <a:bodyPr/>
        <a:lstStyle/>
        <a:p>
          <a:endParaRPr lang="fr-FR"/>
        </a:p>
      </dgm:t>
    </dgm:pt>
    <dgm:pt modelId="{7DEB3BAE-96F8-44AA-8DEB-63D69B65074E}" type="pres">
      <dgm:prSet presAssocID="{7CC7FCAA-0BF9-4DF9-AC30-8F04DE1A78F7}" presName="Name0" presStyleCnt="0">
        <dgm:presLayoutVars>
          <dgm:dir/>
          <dgm:animLvl val="lvl"/>
          <dgm:resizeHandles val="exact"/>
        </dgm:presLayoutVars>
      </dgm:prSet>
      <dgm:spPr/>
      <dgm:t>
        <a:bodyPr/>
        <a:lstStyle/>
        <a:p>
          <a:endParaRPr lang="fr-FR"/>
        </a:p>
      </dgm:t>
    </dgm:pt>
    <dgm:pt modelId="{1B94BC94-BCBD-406E-825F-0BBE57533E49}" type="pres">
      <dgm:prSet presAssocID="{DD955BB4-6475-4DB8-A50C-E54FD3961FD9}" presName="linNode" presStyleCnt="0"/>
      <dgm:spPr/>
    </dgm:pt>
    <dgm:pt modelId="{9D2F98C0-1C1C-4D51-9696-3779E8005A09}" type="pres">
      <dgm:prSet presAssocID="{DD955BB4-6475-4DB8-A50C-E54FD3961FD9}" presName="parentText" presStyleLbl="node1" presStyleIdx="0" presStyleCnt="5" custScaleX="73437">
        <dgm:presLayoutVars>
          <dgm:chMax val="1"/>
          <dgm:bulletEnabled val="1"/>
        </dgm:presLayoutVars>
      </dgm:prSet>
      <dgm:spPr/>
      <dgm:t>
        <a:bodyPr/>
        <a:lstStyle/>
        <a:p>
          <a:endParaRPr lang="fr-FR"/>
        </a:p>
      </dgm:t>
    </dgm:pt>
    <dgm:pt modelId="{2B3E1373-76DE-42D9-8F9A-537620C1079C}" type="pres">
      <dgm:prSet presAssocID="{DD955BB4-6475-4DB8-A50C-E54FD3961FD9}" presName="descendantText" presStyleLbl="alignAccFollowNode1" presStyleIdx="0" presStyleCnt="5" custScaleX="110150">
        <dgm:presLayoutVars>
          <dgm:bulletEnabled val="1"/>
        </dgm:presLayoutVars>
      </dgm:prSet>
      <dgm:spPr/>
      <dgm:t>
        <a:bodyPr/>
        <a:lstStyle/>
        <a:p>
          <a:endParaRPr lang="fr-FR"/>
        </a:p>
      </dgm:t>
    </dgm:pt>
    <dgm:pt modelId="{452792D1-99A3-4588-8711-25BAB8E2ED92}" type="pres">
      <dgm:prSet presAssocID="{13F0C066-0A94-4D55-90B6-DA5CE68CC76E}" presName="sp" presStyleCnt="0"/>
      <dgm:spPr/>
    </dgm:pt>
    <dgm:pt modelId="{8C2C098C-4E85-47BD-A3FA-904E8A93FF75}" type="pres">
      <dgm:prSet presAssocID="{FC756F5C-05EC-4C19-A5B9-A377A418CD66}" presName="linNode" presStyleCnt="0"/>
      <dgm:spPr/>
    </dgm:pt>
    <dgm:pt modelId="{AE874309-08C3-45D4-8E64-908BF791F36E}" type="pres">
      <dgm:prSet presAssocID="{FC756F5C-05EC-4C19-A5B9-A377A418CD66}" presName="parentText" presStyleLbl="node1" presStyleIdx="1" presStyleCnt="5" custScaleX="73437">
        <dgm:presLayoutVars>
          <dgm:chMax val="1"/>
          <dgm:bulletEnabled val="1"/>
        </dgm:presLayoutVars>
      </dgm:prSet>
      <dgm:spPr/>
      <dgm:t>
        <a:bodyPr/>
        <a:lstStyle/>
        <a:p>
          <a:endParaRPr lang="fr-FR"/>
        </a:p>
      </dgm:t>
    </dgm:pt>
    <dgm:pt modelId="{9E35A64B-BF37-43F1-B661-58F19E77D976}" type="pres">
      <dgm:prSet presAssocID="{FC756F5C-05EC-4C19-A5B9-A377A418CD66}" presName="descendantText" presStyleLbl="alignAccFollowNode1" presStyleIdx="1" presStyleCnt="5" custScaleX="110150">
        <dgm:presLayoutVars>
          <dgm:bulletEnabled val="1"/>
        </dgm:presLayoutVars>
      </dgm:prSet>
      <dgm:spPr/>
      <dgm:t>
        <a:bodyPr/>
        <a:lstStyle/>
        <a:p>
          <a:endParaRPr lang="fr-FR"/>
        </a:p>
      </dgm:t>
    </dgm:pt>
    <dgm:pt modelId="{BB6EE966-1F49-487D-B62C-D0FF044E7720}" type="pres">
      <dgm:prSet presAssocID="{AD90D8D3-243D-48FA-905B-FF3B7BC77B78}" presName="sp" presStyleCnt="0"/>
      <dgm:spPr/>
    </dgm:pt>
    <dgm:pt modelId="{5B971D78-F299-4D63-8741-CD4E4595A803}" type="pres">
      <dgm:prSet presAssocID="{09847663-ECFD-4973-B435-543EE830B357}" presName="linNode" presStyleCnt="0"/>
      <dgm:spPr/>
    </dgm:pt>
    <dgm:pt modelId="{1185000B-75F9-4F47-AB75-20CEFB9C71C9}" type="pres">
      <dgm:prSet presAssocID="{09847663-ECFD-4973-B435-543EE830B357}" presName="parentText" presStyleLbl="node1" presStyleIdx="2" presStyleCnt="5" custScaleX="73437">
        <dgm:presLayoutVars>
          <dgm:chMax val="1"/>
          <dgm:bulletEnabled val="1"/>
        </dgm:presLayoutVars>
      </dgm:prSet>
      <dgm:spPr/>
      <dgm:t>
        <a:bodyPr/>
        <a:lstStyle/>
        <a:p>
          <a:endParaRPr lang="fr-FR"/>
        </a:p>
      </dgm:t>
    </dgm:pt>
    <dgm:pt modelId="{F98E0FC9-1E26-4491-A7D6-3B2D0328DF7E}" type="pres">
      <dgm:prSet presAssocID="{09847663-ECFD-4973-B435-543EE830B357}" presName="descendantText" presStyleLbl="alignAccFollowNode1" presStyleIdx="2" presStyleCnt="5" custScaleX="110150">
        <dgm:presLayoutVars>
          <dgm:bulletEnabled val="1"/>
        </dgm:presLayoutVars>
      </dgm:prSet>
      <dgm:spPr/>
      <dgm:t>
        <a:bodyPr/>
        <a:lstStyle/>
        <a:p>
          <a:endParaRPr lang="fr-FR"/>
        </a:p>
      </dgm:t>
    </dgm:pt>
    <dgm:pt modelId="{608EED56-93F0-4F37-B3C9-E668D77B1B2D}" type="pres">
      <dgm:prSet presAssocID="{15EBC1D6-9BF8-4120-BFC3-313DAE536BCC}" presName="sp" presStyleCnt="0"/>
      <dgm:spPr/>
    </dgm:pt>
    <dgm:pt modelId="{471BD385-00E5-43CD-9CF8-A8C4A66F8A7D}" type="pres">
      <dgm:prSet presAssocID="{E7FD1F1D-3C12-4D7B-8123-D23F0A70795E}" presName="linNode" presStyleCnt="0"/>
      <dgm:spPr/>
    </dgm:pt>
    <dgm:pt modelId="{B28BEC03-4BF7-4C95-80D5-52DD8DA291F5}" type="pres">
      <dgm:prSet presAssocID="{E7FD1F1D-3C12-4D7B-8123-D23F0A70795E}" presName="parentText" presStyleLbl="node1" presStyleIdx="3" presStyleCnt="5" custScaleX="73437">
        <dgm:presLayoutVars>
          <dgm:chMax val="1"/>
          <dgm:bulletEnabled val="1"/>
        </dgm:presLayoutVars>
      </dgm:prSet>
      <dgm:spPr/>
      <dgm:t>
        <a:bodyPr/>
        <a:lstStyle/>
        <a:p>
          <a:endParaRPr lang="fr-FR"/>
        </a:p>
      </dgm:t>
    </dgm:pt>
    <dgm:pt modelId="{95071F27-0411-437D-A0DA-7915161148D2}" type="pres">
      <dgm:prSet presAssocID="{E7FD1F1D-3C12-4D7B-8123-D23F0A70795E}" presName="descendantText" presStyleLbl="alignAccFollowNode1" presStyleIdx="3" presStyleCnt="5" custScaleX="110150">
        <dgm:presLayoutVars>
          <dgm:bulletEnabled val="1"/>
        </dgm:presLayoutVars>
      </dgm:prSet>
      <dgm:spPr/>
      <dgm:t>
        <a:bodyPr/>
        <a:lstStyle/>
        <a:p>
          <a:endParaRPr lang="fr-FR"/>
        </a:p>
      </dgm:t>
    </dgm:pt>
    <dgm:pt modelId="{E0404A28-7840-4D74-8AA7-E686864F3C17}" type="pres">
      <dgm:prSet presAssocID="{7FAE8C27-2560-4144-9371-B989659EBE36}" presName="sp" presStyleCnt="0"/>
      <dgm:spPr/>
    </dgm:pt>
    <dgm:pt modelId="{8E88440D-B858-4411-B5D5-97979E34C55E}" type="pres">
      <dgm:prSet presAssocID="{B6D3EF0F-AE8C-4683-8F45-92A5DB1E2EB2}" presName="linNode" presStyleCnt="0"/>
      <dgm:spPr/>
    </dgm:pt>
    <dgm:pt modelId="{360C7631-F353-4390-9712-636E68DC660D}" type="pres">
      <dgm:prSet presAssocID="{B6D3EF0F-AE8C-4683-8F45-92A5DB1E2EB2}" presName="parentText" presStyleLbl="node1" presStyleIdx="4" presStyleCnt="5" custScaleX="73437">
        <dgm:presLayoutVars>
          <dgm:chMax val="1"/>
          <dgm:bulletEnabled val="1"/>
        </dgm:presLayoutVars>
      </dgm:prSet>
      <dgm:spPr/>
      <dgm:t>
        <a:bodyPr/>
        <a:lstStyle/>
        <a:p>
          <a:endParaRPr lang="fr-FR"/>
        </a:p>
      </dgm:t>
    </dgm:pt>
    <dgm:pt modelId="{CBA3D403-0F29-444D-B318-821514144C30}" type="pres">
      <dgm:prSet presAssocID="{B6D3EF0F-AE8C-4683-8F45-92A5DB1E2EB2}" presName="descendantText" presStyleLbl="alignAccFollowNode1" presStyleIdx="4" presStyleCnt="5" custScaleX="110150">
        <dgm:presLayoutVars>
          <dgm:bulletEnabled val="1"/>
        </dgm:presLayoutVars>
      </dgm:prSet>
      <dgm:spPr/>
      <dgm:t>
        <a:bodyPr/>
        <a:lstStyle/>
        <a:p>
          <a:endParaRPr lang="fr-FR"/>
        </a:p>
      </dgm:t>
    </dgm:pt>
  </dgm:ptLst>
  <dgm:cxnLst>
    <dgm:cxn modelId="{810542F8-E5A0-4B02-AC0C-D8E0E3E9F233}" srcId="{09847663-ECFD-4973-B435-543EE830B357}" destId="{48C1D1D2-9209-47C6-B51A-25C1BA543224}" srcOrd="0" destOrd="0" parTransId="{37F26413-3101-4A87-A285-0DF2B7CC5D0B}" sibTransId="{4041B0B6-6C88-4FD5-9E0A-6C17D136CB5C}"/>
    <dgm:cxn modelId="{22BFC048-713E-4ED9-B073-DC08B423444E}" srcId="{B6D3EF0F-AE8C-4683-8F45-92A5DB1E2EB2}" destId="{1B3FEF6E-A623-47DA-BB04-913A3DA819E0}" srcOrd="0" destOrd="0" parTransId="{91A94F2A-DB26-4DF0-B41F-7725AC5C3C41}" sibTransId="{D50D824F-D762-40D0-9D6B-6EEC86BEA12A}"/>
    <dgm:cxn modelId="{5853FC0E-B729-427A-A2B2-3F990C27413C}" type="presOf" srcId="{09847663-ECFD-4973-B435-543EE830B357}" destId="{1185000B-75F9-4F47-AB75-20CEFB9C71C9}" srcOrd="0" destOrd="0" presId="urn:microsoft.com/office/officeart/2005/8/layout/vList5"/>
    <dgm:cxn modelId="{93DE7DE0-3558-4B87-87AA-65BB09B5F2EA}" srcId="{E7FD1F1D-3C12-4D7B-8123-D23F0A70795E}" destId="{08CCD6A0-D3F5-4E6D-B883-1B4C766FF124}" srcOrd="0" destOrd="0" parTransId="{5BAC653A-8AF9-4749-9C56-BEA958C11A43}" sibTransId="{8FBD15C8-FD2F-4BDE-93F7-EBC3156A8F67}"/>
    <dgm:cxn modelId="{DE68EF85-F882-43BE-97C7-913DC71CA8B0}" type="presOf" srcId="{48C1D1D2-9209-47C6-B51A-25C1BA543224}" destId="{F98E0FC9-1E26-4491-A7D6-3B2D0328DF7E}" srcOrd="0" destOrd="0" presId="urn:microsoft.com/office/officeart/2005/8/layout/vList5"/>
    <dgm:cxn modelId="{7FC66CCB-B52B-450E-9131-5FADB1D991B5}" type="presOf" srcId="{7CC7FCAA-0BF9-4DF9-AC30-8F04DE1A78F7}" destId="{7DEB3BAE-96F8-44AA-8DEB-63D69B65074E}" srcOrd="0" destOrd="0" presId="urn:microsoft.com/office/officeart/2005/8/layout/vList5"/>
    <dgm:cxn modelId="{82E95BE9-DD7A-4168-A986-88093DEC77E9}" type="presOf" srcId="{FC756F5C-05EC-4C19-A5B9-A377A418CD66}" destId="{AE874309-08C3-45D4-8E64-908BF791F36E}" srcOrd="0" destOrd="0" presId="urn:microsoft.com/office/officeart/2005/8/layout/vList5"/>
    <dgm:cxn modelId="{B4C47DAC-0002-4B2B-956C-56F21E93D497}" srcId="{FC756F5C-05EC-4C19-A5B9-A377A418CD66}" destId="{7518DB72-F0C4-4B4D-A7EA-A1D2FF0C1238}" srcOrd="0" destOrd="0" parTransId="{9C876C29-49BF-4D1A-8F78-3286B817FE3C}" sibTransId="{272EB0F1-4F0B-4921-A2E5-9A843136EBBF}"/>
    <dgm:cxn modelId="{CF874EF7-F1E3-4C4D-ACDE-5F527EF532BA}" type="presOf" srcId="{DD955BB4-6475-4DB8-A50C-E54FD3961FD9}" destId="{9D2F98C0-1C1C-4D51-9696-3779E8005A09}" srcOrd="0" destOrd="0" presId="urn:microsoft.com/office/officeart/2005/8/layout/vList5"/>
    <dgm:cxn modelId="{30BF4AF5-9721-46E6-B07B-35A02D38737D}" type="presOf" srcId="{1B3FEF6E-A623-47DA-BB04-913A3DA819E0}" destId="{CBA3D403-0F29-444D-B318-821514144C30}" srcOrd="0" destOrd="0" presId="urn:microsoft.com/office/officeart/2005/8/layout/vList5"/>
    <dgm:cxn modelId="{CD961B21-EB78-4E33-BA54-DC9BDC767FE7}" srcId="{7CC7FCAA-0BF9-4DF9-AC30-8F04DE1A78F7}" destId="{09847663-ECFD-4973-B435-543EE830B357}" srcOrd="2" destOrd="0" parTransId="{B9DF5125-2D73-45F2-8BDC-F60900542446}" sibTransId="{15EBC1D6-9BF8-4120-BFC3-313DAE536BCC}"/>
    <dgm:cxn modelId="{E89A5099-1D3D-4914-90B6-1967654CAA5F}" srcId="{DD955BB4-6475-4DB8-A50C-E54FD3961FD9}" destId="{2AFBCA29-63B7-4FFD-99A3-D6C862022AAA}" srcOrd="0" destOrd="0" parTransId="{2275DFC3-47B5-41D5-9CD1-588F8094EE53}" sibTransId="{9B4D0D28-068F-463E-999D-D6D4FCF0E2F4}"/>
    <dgm:cxn modelId="{28063E52-0518-49AB-A01F-03CF4FFFC738}" type="presOf" srcId="{2AFBCA29-63B7-4FFD-99A3-D6C862022AAA}" destId="{2B3E1373-76DE-42D9-8F9A-537620C1079C}" srcOrd="0" destOrd="0" presId="urn:microsoft.com/office/officeart/2005/8/layout/vList5"/>
    <dgm:cxn modelId="{490082A5-971D-4367-BF21-FD40D1DFD880}" type="presOf" srcId="{7518DB72-F0C4-4B4D-A7EA-A1D2FF0C1238}" destId="{9E35A64B-BF37-43F1-B661-58F19E77D976}" srcOrd="0" destOrd="0" presId="urn:microsoft.com/office/officeart/2005/8/layout/vList5"/>
    <dgm:cxn modelId="{3E226901-4022-4080-A467-7A1E00014BA2}" type="presOf" srcId="{08CCD6A0-D3F5-4E6D-B883-1B4C766FF124}" destId="{95071F27-0411-437D-A0DA-7915161148D2}" srcOrd="0" destOrd="0" presId="urn:microsoft.com/office/officeart/2005/8/layout/vList5"/>
    <dgm:cxn modelId="{5F7EBDEC-D431-423B-A96F-2DC1997C4F4A}" type="presOf" srcId="{B6D3EF0F-AE8C-4683-8F45-92A5DB1E2EB2}" destId="{360C7631-F353-4390-9712-636E68DC660D}" srcOrd="0" destOrd="0" presId="urn:microsoft.com/office/officeart/2005/8/layout/vList5"/>
    <dgm:cxn modelId="{CEB0023C-E66D-4D66-9599-484E78606FDD}" srcId="{7CC7FCAA-0BF9-4DF9-AC30-8F04DE1A78F7}" destId="{E7FD1F1D-3C12-4D7B-8123-D23F0A70795E}" srcOrd="3" destOrd="0" parTransId="{4CA470ED-A7EF-4151-B595-03E3AC7A44FD}" sibTransId="{7FAE8C27-2560-4144-9371-B989659EBE36}"/>
    <dgm:cxn modelId="{D6334286-FDB5-4AE9-A0CC-95ADBC8A9F40}" srcId="{7CC7FCAA-0BF9-4DF9-AC30-8F04DE1A78F7}" destId="{DD955BB4-6475-4DB8-A50C-E54FD3961FD9}" srcOrd="0" destOrd="0" parTransId="{8EE3CE9C-7282-4E5E-9FFF-A6F26A362650}" sibTransId="{13F0C066-0A94-4D55-90B6-DA5CE68CC76E}"/>
    <dgm:cxn modelId="{FC4FAF77-A529-471A-8AF7-4DBE787EE474}" srcId="{7CC7FCAA-0BF9-4DF9-AC30-8F04DE1A78F7}" destId="{FC756F5C-05EC-4C19-A5B9-A377A418CD66}" srcOrd="1" destOrd="0" parTransId="{490977DE-6AE3-4838-96D5-21E4E62C9BE8}" sibTransId="{AD90D8D3-243D-48FA-905B-FF3B7BC77B78}"/>
    <dgm:cxn modelId="{D868004D-C4E8-4B77-9D9D-238B9C5798C9}" type="presOf" srcId="{E7FD1F1D-3C12-4D7B-8123-D23F0A70795E}" destId="{B28BEC03-4BF7-4C95-80D5-52DD8DA291F5}" srcOrd="0" destOrd="0" presId="urn:microsoft.com/office/officeart/2005/8/layout/vList5"/>
    <dgm:cxn modelId="{15341968-10B2-4E94-AAA9-DE6E64831679}" srcId="{7CC7FCAA-0BF9-4DF9-AC30-8F04DE1A78F7}" destId="{B6D3EF0F-AE8C-4683-8F45-92A5DB1E2EB2}" srcOrd="4" destOrd="0" parTransId="{78A3DE69-A58E-411D-85DA-E7861C9AE3FD}" sibTransId="{99CD4DD6-8E73-4379-AC22-E26DF693DAE8}"/>
    <dgm:cxn modelId="{B0C2722E-C6E2-4D30-9B13-7192FD6BDEB1}" type="presParOf" srcId="{7DEB3BAE-96F8-44AA-8DEB-63D69B65074E}" destId="{1B94BC94-BCBD-406E-825F-0BBE57533E49}" srcOrd="0" destOrd="0" presId="urn:microsoft.com/office/officeart/2005/8/layout/vList5"/>
    <dgm:cxn modelId="{2C912430-D27C-4E5C-B65B-223DA16D5DAA}" type="presParOf" srcId="{1B94BC94-BCBD-406E-825F-0BBE57533E49}" destId="{9D2F98C0-1C1C-4D51-9696-3779E8005A09}" srcOrd="0" destOrd="0" presId="urn:microsoft.com/office/officeart/2005/8/layout/vList5"/>
    <dgm:cxn modelId="{B5C4F706-15D1-49BF-8B55-0257B7646AC6}" type="presParOf" srcId="{1B94BC94-BCBD-406E-825F-0BBE57533E49}" destId="{2B3E1373-76DE-42D9-8F9A-537620C1079C}" srcOrd="1" destOrd="0" presId="urn:microsoft.com/office/officeart/2005/8/layout/vList5"/>
    <dgm:cxn modelId="{2DAC21C4-BA3A-4D80-B051-F4A320E36011}" type="presParOf" srcId="{7DEB3BAE-96F8-44AA-8DEB-63D69B65074E}" destId="{452792D1-99A3-4588-8711-25BAB8E2ED92}" srcOrd="1" destOrd="0" presId="urn:microsoft.com/office/officeart/2005/8/layout/vList5"/>
    <dgm:cxn modelId="{D3298530-6B80-4B1D-9A10-EA3F942AFA71}" type="presParOf" srcId="{7DEB3BAE-96F8-44AA-8DEB-63D69B65074E}" destId="{8C2C098C-4E85-47BD-A3FA-904E8A93FF75}" srcOrd="2" destOrd="0" presId="urn:microsoft.com/office/officeart/2005/8/layout/vList5"/>
    <dgm:cxn modelId="{45C41B3D-9375-4685-A8FF-2A794337A07C}" type="presParOf" srcId="{8C2C098C-4E85-47BD-A3FA-904E8A93FF75}" destId="{AE874309-08C3-45D4-8E64-908BF791F36E}" srcOrd="0" destOrd="0" presId="urn:microsoft.com/office/officeart/2005/8/layout/vList5"/>
    <dgm:cxn modelId="{58144F26-B246-4393-B4FA-722453AA7945}" type="presParOf" srcId="{8C2C098C-4E85-47BD-A3FA-904E8A93FF75}" destId="{9E35A64B-BF37-43F1-B661-58F19E77D976}" srcOrd="1" destOrd="0" presId="urn:microsoft.com/office/officeart/2005/8/layout/vList5"/>
    <dgm:cxn modelId="{CBDF9518-F2BA-4769-9794-E31A7137EC73}" type="presParOf" srcId="{7DEB3BAE-96F8-44AA-8DEB-63D69B65074E}" destId="{BB6EE966-1F49-487D-B62C-D0FF044E7720}" srcOrd="3" destOrd="0" presId="urn:microsoft.com/office/officeart/2005/8/layout/vList5"/>
    <dgm:cxn modelId="{0C041BB5-361B-4E86-A7D1-5A8E4AE9FC46}" type="presParOf" srcId="{7DEB3BAE-96F8-44AA-8DEB-63D69B65074E}" destId="{5B971D78-F299-4D63-8741-CD4E4595A803}" srcOrd="4" destOrd="0" presId="urn:microsoft.com/office/officeart/2005/8/layout/vList5"/>
    <dgm:cxn modelId="{D3DE0D1E-4D70-49BD-964A-7FBF977F006A}" type="presParOf" srcId="{5B971D78-F299-4D63-8741-CD4E4595A803}" destId="{1185000B-75F9-4F47-AB75-20CEFB9C71C9}" srcOrd="0" destOrd="0" presId="urn:microsoft.com/office/officeart/2005/8/layout/vList5"/>
    <dgm:cxn modelId="{3CB2F890-5EDC-4C0A-A805-91B49FDBD150}" type="presParOf" srcId="{5B971D78-F299-4D63-8741-CD4E4595A803}" destId="{F98E0FC9-1E26-4491-A7D6-3B2D0328DF7E}" srcOrd="1" destOrd="0" presId="urn:microsoft.com/office/officeart/2005/8/layout/vList5"/>
    <dgm:cxn modelId="{C510C571-F283-45CC-90DA-AD9D04E4F9EC}" type="presParOf" srcId="{7DEB3BAE-96F8-44AA-8DEB-63D69B65074E}" destId="{608EED56-93F0-4F37-B3C9-E668D77B1B2D}" srcOrd="5" destOrd="0" presId="urn:microsoft.com/office/officeart/2005/8/layout/vList5"/>
    <dgm:cxn modelId="{A74F19DD-CC82-4BD1-8554-A4B36330FDA5}" type="presParOf" srcId="{7DEB3BAE-96F8-44AA-8DEB-63D69B65074E}" destId="{471BD385-00E5-43CD-9CF8-A8C4A66F8A7D}" srcOrd="6" destOrd="0" presId="urn:microsoft.com/office/officeart/2005/8/layout/vList5"/>
    <dgm:cxn modelId="{B5CFE27E-3E14-4CB4-B99A-4231DE21CF5F}" type="presParOf" srcId="{471BD385-00E5-43CD-9CF8-A8C4A66F8A7D}" destId="{B28BEC03-4BF7-4C95-80D5-52DD8DA291F5}" srcOrd="0" destOrd="0" presId="urn:microsoft.com/office/officeart/2005/8/layout/vList5"/>
    <dgm:cxn modelId="{4005658D-120D-407F-BC0E-4495B85AA5AD}" type="presParOf" srcId="{471BD385-00E5-43CD-9CF8-A8C4A66F8A7D}" destId="{95071F27-0411-437D-A0DA-7915161148D2}" srcOrd="1" destOrd="0" presId="urn:microsoft.com/office/officeart/2005/8/layout/vList5"/>
    <dgm:cxn modelId="{E501AC4A-07DE-4F6C-962D-286FB5310AB5}" type="presParOf" srcId="{7DEB3BAE-96F8-44AA-8DEB-63D69B65074E}" destId="{E0404A28-7840-4D74-8AA7-E686864F3C17}" srcOrd="7" destOrd="0" presId="urn:microsoft.com/office/officeart/2005/8/layout/vList5"/>
    <dgm:cxn modelId="{15D1B437-DEB6-43DC-9D00-0E450E214016}" type="presParOf" srcId="{7DEB3BAE-96F8-44AA-8DEB-63D69B65074E}" destId="{8E88440D-B858-4411-B5D5-97979E34C55E}" srcOrd="8" destOrd="0" presId="urn:microsoft.com/office/officeart/2005/8/layout/vList5"/>
    <dgm:cxn modelId="{CA3D8A4C-D609-4C1C-873A-0C9BF5E9D28F}" type="presParOf" srcId="{8E88440D-B858-4411-B5D5-97979E34C55E}" destId="{360C7631-F353-4390-9712-636E68DC660D}" srcOrd="0" destOrd="0" presId="urn:microsoft.com/office/officeart/2005/8/layout/vList5"/>
    <dgm:cxn modelId="{272D9336-BBE2-4BB9-A253-A7DE81D06F82}" type="presParOf" srcId="{8E88440D-B858-4411-B5D5-97979E34C55E}" destId="{CBA3D403-0F29-444D-B318-821514144C30}"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016D3F-2B27-46DA-989B-6B78D2498D6E}" type="doc">
      <dgm:prSet loTypeId="urn:microsoft.com/office/officeart/2005/8/layout/radial5" loCatId="relationship" qsTypeId="urn:microsoft.com/office/officeart/2005/8/quickstyle/3d2" qsCatId="3D" csTypeId="urn:microsoft.com/office/officeart/2005/8/colors/accent1_2" csCatId="accent1" phldr="1"/>
      <dgm:spPr/>
      <dgm:t>
        <a:bodyPr/>
        <a:lstStyle/>
        <a:p>
          <a:endParaRPr lang="fr-FR"/>
        </a:p>
      </dgm:t>
    </dgm:pt>
    <dgm:pt modelId="{1E577197-2150-455B-A37C-2359CD5F8969}">
      <dgm:prSet phldrT="[Texte]" custT="1"/>
      <dgm:spPr/>
      <dgm:t>
        <a:bodyPr/>
        <a:lstStyle/>
        <a:p>
          <a:pPr algn="ctr"/>
          <a:r>
            <a:rPr lang="fr-FR" sz="1400" b="1">
              <a:solidFill>
                <a:srgbClr val="FFFF00"/>
              </a:solidFill>
            </a:rPr>
            <a:t>Groupes stratégiques</a:t>
          </a:r>
        </a:p>
        <a:p>
          <a:pPr algn="ctr"/>
          <a:r>
            <a:rPr lang="fr-FR" sz="1400"/>
            <a:t>- Grands généralistes </a:t>
          </a:r>
        </a:p>
        <a:p>
          <a:pPr algn="ctr"/>
          <a:r>
            <a:rPr lang="fr-FR" sz="1400"/>
            <a:t>- Petits généralistes </a:t>
          </a:r>
        </a:p>
        <a:p>
          <a:pPr algn="ctr"/>
          <a:r>
            <a:rPr lang="fr-FR" sz="1400"/>
            <a:t>- Spécialistes métier </a:t>
          </a:r>
        </a:p>
        <a:p>
          <a:pPr algn="ctr"/>
          <a:r>
            <a:rPr lang="fr-FR" sz="1400"/>
            <a:t>- Experts techniques </a:t>
          </a:r>
        </a:p>
        <a:p>
          <a:pPr algn="ctr"/>
          <a:r>
            <a:rPr lang="fr-FR" sz="1400"/>
            <a:t>- Talents</a:t>
          </a:r>
        </a:p>
      </dgm:t>
    </dgm:pt>
    <dgm:pt modelId="{8BDA0797-AB09-4ABC-BCCD-CBD06A5310F3}" type="parTrans" cxnId="{0A18EA3F-3AC1-4913-9E5D-296D03DB3E83}">
      <dgm:prSet/>
      <dgm:spPr/>
      <dgm:t>
        <a:bodyPr/>
        <a:lstStyle/>
        <a:p>
          <a:pPr algn="ctr"/>
          <a:endParaRPr lang="fr-FR"/>
        </a:p>
      </dgm:t>
    </dgm:pt>
    <dgm:pt modelId="{2C11C24A-48D2-4402-9C83-1B6318F49DCF}" type="sibTrans" cxnId="{0A18EA3F-3AC1-4913-9E5D-296D03DB3E83}">
      <dgm:prSet/>
      <dgm:spPr/>
      <dgm:t>
        <a:bodyPr/>
        <a:lstStyle/>
        <a:p>
          <a:pPr algn="ctr"/>
          <a:endParaRPr lang="fr-FR"/>
        </a:p>
      </dgm:t>
    </dgm:pt>
    <dgm:pt modelId="{72F60EA5-F2AC-4161-A74C-12AAA84B0ACC}">
      <dgm:prSet phldrT="[Texte]" custT="1"/>
      <dgm:spPr/>
      <dgm:t>
        <a:bodyPr/>
        <a:lstStyle/>
        <a:p>
          <a:pPr algn="ctr"/>
          <a:r>
            <a:rPr lang="fr-FR" sz="1400" b="1">
              <a:solidFill>
                <a:srgbClr val="FFFF00"/>
              </a:solidFill>
            </a:rPr>
            <a:t>Entrants potentiels</a:t>
          </a:r>
        </a:p>
        <a:p>
          <a:pPr algn="ctr"/>
          <a:r>
            <a:rPr lang="fr-FR" sz="1400"/>
            <a:t>- Réseaux de freelance</a:t>
          </a:r>
        </a:p>
        <a:p>
          <a:pPr algn="ctr"/>
          <a:r>
            <a:rPr lang="fr-FR" sz="1400"/>
            <a:t>- Entreprises de portage</a:t>
          </a:r>
        </a:p>
        <a:p>
          <a:pPr algn="ctr"/>
          <a:r>
            <a:rPr lang="fr-FR" sz="1400"/>
            <a:t>- Linkedin</a:t>
          </a:r>
        </a:p>
      </dgm:t>
    </dgm:pt>
    <dgm:pt modelId="{84E86F01-A01B-4514-8D45-FAD38FCD7462}" type="parTrans" cxnId="{695D7F42-CB4A-4ACB-97E4-6AECB8F4D0AB}">
      <dgm:prSet/>
      <dgm:spPr/>
      <dgm:t>
        <a:bodyPr/>
        <a:lstStyle/>
        <a:p>
          <a:pPr algn="ctr"/>
          <a:endParaRPr lang="fr-FR"/>
        </a:p>
      </dgm:t>
    </dgm:pt>
    <dgm:pt modelId="{3793F3ED-564C-46D3-9C61-AFF3A0FB3F86}" type="sibTrans" cxnId="{695D7F42-CB4A-4ACB-97E4-6AECB8F4D0AB}">
      <dgm:prSet/>
      <dgm:spPr/>
      <dgm:t>
        <a:bodyPr/>
        <a:lstStyle/>
        <a:p>
          <a:pPr algn="ctr"/>
          <a:endParaRPr lang="fr-FR"/>
        </a:p>
      </dgm:t>
    </dgm:pt>
    <dgm:pt modelId="{00002E9D-F4D2-4F98-B969-DE4CA2BB6274}">
      <dgm:prSet phldrT="[Texte]" custT="1"/>
      <dgm:spPr/>
      <dgm:t>
        <a:bodyPr/>
        <a:lstStyle/>
        <a:p>
          <a:pPr algn="ctr"/>
          <a:r>
            <a:rPr lang="fr-FR" sz="1600" b="1">
              <a:solidFill>
                <a:srgbClr val="FFFF00"/>
              </a:solidFill>
            </a:rPr>
            <a:t>Substituts</a:t>
          </a:r>
        </a:p>
        <a:p>
          <a:pPr algn="ctr"/>
          <a:r>
            <a:rPr lang="fr-FR" sz="1600"/>
            <a:t>Conseil en interne</a:t>
          </a:r>
          <a:endParaRPr lang="fr-FR" sz="5300"/>
        </a:p>
      </dgm:t>
    </dgm:pt>
    <dgm:pt modelId="{371CE67B-6889-4AB8-924B-A4E243C8C4E8}" type="parTrans" cxnId="{A0A2FF5C-1722-414D-B49D-7A33AE6980B9}">
      <dgm:prSet/>
      <dgm:spPr/>
      <dgm:t>
        <a:bodyPr/>
        <a:lstStyle/>
        <a:p>
          <a:pPr algn="ctr"/>
          <a:endParaRPr lang="fr-FR"/>
        </a:p>
      </dgm:t>
    </dgm:pt>
    <dgm:pt modelId="{26F7F0AB-28EB-46C2-9668-AA9ADB32E6D8}" type="sibTrans" cxnId="{A0A2FF5C-1722-414D-B49D-7A33AE6980B9}">
      <dgm:prSet/>
      <dgm:spPr/>
      <dgm:t>
        <a:bodyPr/>
        <a:lstStyle/>
        <a:p>
          <a:pPr algn="ctr"/>
          <a:endParaRPr lang="fr-FR"/>
        </a:p>
      </dgm:t>
    </dgm:pt>
    <dgm:pt modelId="{BFED11D4-4E00-44E6-ABAB-9FE2C57341F6}">
      <dgm:prSet phldrT="[Texte]" custT="1"/>
      <dgm:spPr/>
      <dgm:t>
        <a:bodyPr/>
        <a:lstStyle/>
        <a:p>
          <a:pPr algn="ctr"/>
          <a:r>
            <a:rPr lang="fr-FR" sz="1400" b="1">
              <a:solidFill>
                <a:srgbClr val="FFFF00"/>
              </a:solidFill>
            </a:rPr>
            <a:t>Clients</a:t>
          </a:r>
        </a:p>
        <a:p>
          <a:pPr algn="ctr"/>
          <a:r>
            <a:rPr lang="fr-FR" sz="1400"/>
            <a:t>- Banques et assurances </a:t>
          </a:r>
        </a:p>
        <a:p>
          <a:pPr algn="ctr"/>
          <a:r>
            <a:rPr lang="fr-FR" sz="1400"/>
            <a:t>- Secteur public </a:t>
          </a:r>
        </a:p>
        <a:p>
          <a:pPr algn="ctr"/>
          <a:r>
            <a:rPr lang="fr-FR" sz="1400"/>
            <a:t>- Industrie </a:t>
          </a:r>
        </a:p>
        <a:p>
          <a:pPr algn="ctr"/>
          <a:r>
            <a:rPr lang="fr-FR" sz="1400"/>
            <a:t>- Commerce gros et détail </a:t>
          </a:r>
        </a:p>
        <a:p>
          <a:pPr algn="ctr"/>
          <a:r>
            <a:rPr lang="fr-FR" sz="1400"/>
            <a:t>- Télécoms </a:t>
          </a:r>
        </a:p>
        <a:p>
          <a:pPr algn="ctr"/>
          <a:r>
            <a:rPr lang="fr-FR" sz="1400"/>
            <a:t>- Energie </a:t>
          </a:r>
        </a:p>
      </dgm:t>
    </dgm:pt>
    <dgm:pt modelId="{166122FB-A3CE-4BDD-8312-6E939F5014C2}" type="parTrans" cxnId="{17E36333-78AE-481C-B598-C2D0CE1EBBBD}">
      <dgm:prSet/>
      <dgm:spPr/>
      <dgm:t>
        <a:bodyPr/>
        <a:lstStyle/>
        <a:p>
          <a:pPr algn="ctr"/>
          <a:endParaRPr lang="fr-FR"/>
        </a:p>
      </dgm:t>
    </dgm:pt>
    <dgm:pt modelId="{EF95D56B-2C22-4FAF-AC96-FD148FCA17F2}" type="sibTrans" cxnId="{17E36333-78AE-481C-B598-C2D0CE1EBBBD}">
      <dgm:prSet/>
      <dgm:spPr/>
      <dgm:t>
        <a:bodyPr/>
        <a:lstStyle/>
        <a:p>
          <a:pPr algn="ctr"/>
          <a:endParaRPr lang="fr-FR"/>
        </a:p>
      </dgm:t>
    </dgm:pt>
    <dgm:pt modelId="{BABE51CC-089F-4D97-9B8F-5C6CF899E326}">
      <dgm:prSet phldrT="[Texte]" custT="1"/>
      <dgm:spPr/>
      <dgm:t>
        <a:bodyPr/>
        <a:lstStyle/>
        <a:p>
          <a:pPr algn="ctr"/>
          <a:r>
            <a:rPr lang="fr-FR" sz="1400" b="1">
              <a:solidFill>
                <a:srgbClr val="FFFF00"/>
              </a:solidFill>
            </a:rPr>
            <a:t>Cadre réglementaire</a:t>
          </a:r>
        </a:p>
        <a:p>
          <a:pPr algn="ctr"/>
          <a:r>
            <a:rPr lang="fr-FR" sz="1400"/>
            <a:t>- Plusieurs sources de droit des SI </a:t>
          </a:r>
        </a:p>
        <a:p>
          <a:pPr algn="ctr"/>
          <a:r>
            <a:rPr lang="fr-FR" sz="1400"/>
            <a:t>- Menaces juridiques</a:t>
          </a:r>
        </a:p>
        <a:p>
          <a:pPr algn="ctr"/>
          <a:r>
            <a:rPr lang="fr-FR" sz="1400"/>
            <a:t>- Protection</a:t>
          </a:r>
        </a:p>
      </dgm:t>
    </dgm:pt>
    <dgm:pt modelId="{CDE7C37F-B358-4DEC-ACC3-5B24516B0069}" type="parTrans" cxnId="{28D52A52-1507-4573-8BEC-8554253C7A9A}">
      <dgm:prSet/>
      <dgm:spPr/>
      <dgm:t>
        <a:bodyPr/>
        <a:lstStyle/>
        <a:p>
          <a:pPr algn="ctr"/>
          <a:endParaRPr lang="fr-FR"/>
        </a:p>
      </dgm:t>
    </dgm:pt>
    <dgm:pt modelId="{53F51907-4AE1-48FB-A0A7-8C44CD53CEEB}" type="sibTrans" cxnId="{28D52A52-1507-4573-8BEC-8554253C7A9A}">
      <dgm:prSet/>
      <dgm:spPr/>
      <dgm:t>
        <a:bodyPr/>
        <a:lstStyle/>
        <a:p>
          <a:pPr algn="ctr"/>
          <a:endParaRPr lang="fr-FR"/>
        </a:p>
      </dgm:t>
    </dgm:pt>
    <dgm:pt modelId="{3B80D28A-3943-4160-9791-6267B6E81579}">
      <dgm:prSet phldrT="[Texte]" custT="1"/>
      <dgm:spPr/>
      <dgm:t>
        <a:bodyPr/>
        <a:lstStyle/>
        <a:p>
          <a:pPr algn="ctr"/>
          <a:r>
            <a:rPr lang="fr-FR" sz="1400" b="1">
              <a:solidFill>
                <a:srgbClr val="FFFF00"/>
              </a:solidFill>
            </a:rPr>
            <a:t>Fournisseurs </a:t>
          </a:r>
        </a:p>
        <a:p>
          <a:pPr algn="ctr"/>
          <a:r>
            <a:rPr lang="fr-FR" sz="1400"/>
            <a:t>Les consultants</a:t>
          </a:r>
          <a:endParaRPr lang="fr-FR" sz="5000"/>
        </a:p>
      </dgm:t>
    </dgm:pt>
    <dgm:pt modelId="{6C4A8C07-CC7F-4FE1-942A-39D5579D0838}" type="parTrans" cxnId="{93C1F443-2683-4D92-8614-8402BBEC2CEC}">
      <dgm:prSet/>
      <dgm:spPr/>
      <dgm:t>
        <a:bodyPr/>
        <a:lstStyle/>
        <a:p>
          <a:pPr algn="ctr"/>
          <a:endParaRPr lang="fr-FR"/>
        </a:p>
      </dgm:t>
    </dgm:pt>
    <dgm:pt modelId="{A09B6E40-9110-411A-95C7-5C365A50F7D2}" type="sibTrans" cxnId="{93C1F443-2683-4D92-8614-8402BBEC2CEC}">
      <dgm:prSet/>
      <dgm:spPr/>
      <dgm:t>
        <a:bodyPr/>
        <a:lstStyle/>
        <a:p>
          <a:pPr algn="ctr"/>
          <a:endParaRPr lang="fr-FR"/>
        </a:p>
      </dgm:t>
    </dgm:pt>
    <dgm:pt modelId="{495DC3FC-D64B-493B-B8E6-B7757FDD8E88}" type="pres">
      <dgm:prSet presAssocID="{4C016D3F-2B27-46DA-989B-6B78D2498D6E}" presName="Name0" presStyleCnt="0">
        <dgm:presLayoutVars>
          <dgm:chMax val="1"/>
          <dgm:dir/>
          <dgm:animLvl val="ctr"/>
          <dgm:resizeHandles val="exact"/>
        </dgm:presLayoutVars>
      </dgm:prSet>
      <dgm:spPr/>
      <dgm:t>
        <a:bodyPr/>
        <a:lstStyle/>
        <a:p>
          <a:endParaRPr lang="fr-FR"/>
        </a:p>
      </dgm:t>
    </dgm:pt>
    <dgm:pt modelId="{657CBB04-530C-4C4B-B0C2-0D7F3D85C5FB}" type="pres">
      <dgm:prSet presAssocID="{1E577197-2150-455B-A37C-2359CD5F8969}" presName="centerShape" presStyleLbl="node0" presStyleIdx="0" presStyleCnt="1" custScaleX="157745" custScaleY="134790" custLinFactNeighborX="-2028" custLinFactNeighborY="-3344"/>
      <dgm:spPr/>
      <dgm:t>
        <a:bodyPr/>
        <a:lstStyle/>
        <a:p>
          <a:endParaRPr lang="fr-FR"/>
        </a:p>
      </dgm:t>
    </dgm:pt>
    <dgm:pt modelId="{2100587D-8025-44AE-8771-68706094CAD2}" type="pres">
      <dgm:prSet presAssocID="{84E86F01-A01B-4514-8D45-FAD38FCD7462}" presName="parTrans" presStyleLbl="sibTrans2D1" presStyleIdx="0" presStyleCnt="5" custAng="10827803"/>
      <dgm:spPr/>
      <dgm:t>
        <a:bodyPr/>
        <a:lstStyle/>
        <a:p>
          <a:endParaRPr lang="fr-FR"/>
        </a:p>
      </dgm:t>
    </dgm:pt>
    <dgm:pt modelId="{0638A58D-3444-446C-8926-52F8F3962EAD}" type="pres">
      <dgm:prSet presAssocID="{84E86F01-A01B-4514-8D45-FAD38FCD7462}" presName="connectorText" presStyleLbl="sibTrans2D1" presStyleIdx="0" presStyleCnt="5"/>
      <dgm:spPr/>
      <dgm:t>
        <a:bodyPr/>
        <a:lstStyle/>
        <a:p>
          <a:endParaRPr lang="fr-FR"/>
        </a:p>
      </dgm:t>
    </dgm:pt>
    <dgm:pt modelId="{154C3A54-966D-4E0E-85CD-A92821ADD2F9}" type="pres">
      <dgm:prSet presAssocID="{72F60EA5-F2AC-4161-A74C-12AAA84B0ACC}" presName="node" presStyleLbl="node1" presStyleIdx="0" presStyleCnt="5" custScaleX="167461" custScaleY="63100" custRadScaleRad="94592" custRadScaleInc="-7314">
        <dgm:presLayoutVars>
          <dgm:bulletEnabled val="1"/>
        </dgm:presLayoutVars>
      </dgm:prSet>
      <dgm:spPr/>
      <dgm:t>
        <a:bodyPr/>
        <a:lstStyle/>
        <a:p>
          <a:endParaRPr lang="fr-FR"/>
        </a:p>
      </dgm:t>
    </dgm:pt>
    <dgm:pt modelId="{B7CF9A0C-6784-4BDD-8127-DF99CC48D28B}" type="pres">
      <dgm:prSet presAssocID="{371CE67B-6889-4AB8-924B-A4E243C8C4E8}" presName="parTrans" presStyleLbl="sibTrans2D1" presStyleIdx="1" presStyleCnt="5" custAng="10816551"/>
      <dgm:spPr/>
      <dgm:t>
        <a:bodyPr/>
        <a:lstStyle/>
        <a:p>
          <a:endParaRPr lang="fr-FR"/>
        </a:p>
      </dgm:t>
    </dgm:pt>
    <dgm:pt modelId="{DD3825D5-DF98-4F68-A5D5-5D0131B9C33A}" type="pres">
      <dgm:prSet presAssocID="{371CE67B-6889-4AB8-924B-A4E243C8C4E8}" presName="connectorText" presStyleLbl="sibTrans2D1" presStyleIdx="1" presStyleCnt="5"/>
      <dgm:spPr/>
      <dgm:t>
        <a:bodyPr/>
        <a:lstStyle/>
        <a:p>
          <a:endParaRPr lang="fr-FR"/>
        </a:p>
      </dgm:t>
    </dgm:pt>
    <dgm:pt modelId="{E49320EF-61E7-4DB1-B32A-A7C4712F9872}" type="pres">
      <dgm:prSet presAssocID="{00002E9D-F4D2-4F98-B969-DE4CA2BB6274}" presName="node" presStyleLbl="node1" presStyleIdx="1" presStyleCnt="5" custScaleX="102480" custScaleY="48085" custRadScaleRad="97568" custRadScaleInc="197878">
        <dgm:presLayoutVars>
          <dgm:bulletEnabled val="1"/>
        </dgm:presLayoutVars>
      </dgm:prSet>
      <dgm:spPr/>
      <dgm:t>
        <a:bodyPr/>
        <a:lstStyle/>
        <a:p>
          <a:endParaRPr lang="fr-FR"/>
        </a:p>
      </dgm:t>
    </dgm:pt>
    <dgm:pt modelId="{0B157747-7EDE-49AF-90AA-7D73B96D4834}" type="pres">
      <dgm:prSet presAssocID="{166122FB-A3CE-4BDD-8312-6E939F5014C2}" presName="parTrans" presStyleLbl="sibTrans2D1" presStyleIdx="2" presStyleCnt="5" custAng="11001587"/>
      <dgm:spPr/>
      <dgm:t>
        <a:bodyPr/>
        <a:lstStyle/>
        <a:p>
          <a:endParaRPr lang="fr-FR"/>
        </a:p>
      </dgm:t>
    </dgm:pt>
    <dgm:pt modelId="{C58A3BBC-2664-4ABF-B743-9E90D944120A}" type="pres">
      <dgm:prSet presAssocID="{166122FB-A3CE-4BDD-8312-6E939F5014C2}" presName="connectorText" presStyleLbl="sibTrans2D1" presStyleIdx="2" presStyleCnt="5"/>
      <dgm:spPr/>
      <dgm:t>
        <a:bodyPr/>
        <a:lstStyle/>
        <a:p>
          <a:endParaRPr lang="fr-FR"/>
        </a:p>
      </dgm:t>
    </dgm:pt>
    <dgm:pt modelId="{819A0EE6-F0C6-4C23-895D-C4576354C611}" type="pres">
      <dgm:prSet presAssocID="{BFED11D4-4E00-44E6-ABAB-9FE2C57341F6}" presName="node" presStyleLbl="node1" presStyleIdx="2" presStyleCnt="5" custScaleX="149661" custScaleY="138092" custRadScaleRad="124482" custRadScaleInc="-159422">
        <dgm:presLayoutVars>
          <dgm:bulletEnabled val="1"/>
        </dgm:presLayoutVars>
      </dgm:prSet>
      <dgm:spPr/>
      <dgm:t>
        <a:bodyPr/>
        <a:lstStyle/>
        <a:p>
          <a:endParaRPr lang="fr-FR"/>
        </a:p>
      </dgm:t>
    </dgm:pt>
    <dgm:pt modelId="{35FF1FBF-CB34-4A26-8FCD-B8104E8DB54A}" type="pres">
      <dgm:prSet presAssocID="{CDE7C37F-B358-4DEC-ACC3-5B24516B0069}" presName="parTrans" presStyleLbl="sibTrans2D1" presStyleIdx="3" presStyleCnt="5" custAng="10684997"/>
      <dgm:spPr/>
      <dgm:t>
        <a:bodyPr/>
        <a:lstStyle/>
        <a:p>
          <a:endParaRPr lang="fr-FR"/>
        </a:p>
      </dgm:t>
    </dgm:pt>
    <dgm:pt modelId="{90C5C5D7-F5DB-4D84-AB66-BA298B9C7D3A}" type="pres">
      <dgm:prSet presAssocID="{CDE7C37F-B358-4DEC-ACC3-5B24516B0069}" presName="connectorText" presStyleLbl="sibTrans2D1" presStyleIdx="3" presStyleCnt="5"/>
      <dgm:spPr/>
      <dgm:t>
        <a:bodyPr/>
        <a:lstStyle/>
        <a:p>
          <a:endParaRPr lang="fr-FR"/>
        </a:p>
      </dgm:t>
    </dgm:pt>
    <dgm:pt modelId="{A826F2DB-B555-4550-9DE1-BD4DC19F5DA4}" type="pres">
      <dgm:prSet presAssocID="{BABE51CC-089F-4D97-9B8F-5C6CF899E326}" presName="node" presStyleLbl="node1" presStyleIdx="3" presStyleCnt="5" custScaleX="200034" custScaleY="58838" custRadScaleRad="121726" custRadScaleInc="31848">
        <dgm:presLayoutVars>
          <dgm:bulletEnabled val="1"/>
        </dgm:presLayoutVars>
      </dgm:prSet>
      <dgm:spPr/>
      <dgm:t>
        <a:bodyPr/>
        <a:lstStyle/>
        <a:p>
          <a:endParaRPr lang="fr-FR"/>
        </a:p>
      </dgm:t>
    </dgm:pt>
    <dgm:pt modelId="{23D9264A-BE6B-4E20-A2F3-ABC1F09AD868}" type="pres">
      <dgm:prSet presAssocID="{6C4A8C07-CC7F-4FE1-942A-39D5579D0838}" presName="parTrans" presStyleLbl="sibTrans2D1" presStyleIdx="4" presStyleCnt="5" custAng="10855769"/>
      <dgm:spPr/>
      <dgm:t>
        <a:bodyPr/>
        <a:lstStyle/>
        <a:p>
          <a:endParaRPr lang="fr-FR"/>
        </a:p>
      </dgm:t>
    </dgm:pt>
    <dgm:pt modelId="{FA998145-EF72-4FEA-B51E-6CC3B56722C4}" type="pres">
      <dgm:prSet presAssocID="{6C4A8C07-CC7F-4FE1-942A-39D5579D0838}" presName="connectorText" presStyleLbl="sibTrans2D1" presStyleIdx="4" presStyleCnt="5"/>
      <dgm:spPr/>
      <dgm:t>
        <a:bodyPr/>
        <a:lstStyle/>
        <a:p>
          <a:endParaRPr lang="fr-FR"/>
        </a:p>
      </dgm:t>
    </dgm:pt>
    <dgm:pt modelId="{47471277-B1E6-4C5D-AEA1-EFEEE1DAE3F6}" type="pres">
      <dgm:prSet presAssocID="{3B80D28A-3943-4160-9791-6267B6E81579}" presName="node" presStyleLbl="node1" presStyleIdx="4" presStyleCnt="5" custScaleX="148918" custScaleY="140122" custRadScaleRad="137832" custRadScaleInc="-45787">
        <dgm:presLayoutVars>
          <dgm:bulletEnabled val="1"/>
        </dgm:presLayoutVars>
      </dgm:prSet>
      <dgm:spPr/>
      <dgm:t>
        <a:bodyPr/>
        <a:lstStyle/>
        <a:p>
          <a:endParaRPr lang="fr-FR"/>
        </a:p>
      </dgm:t>
    </dgm:pt>
  </dgm:ptLst>
  <dgm:cxnLst>
    <dgm:cxn modelId="{1B17A9A1-DA04-4F9B-9BD2-1F6481E7A130}" type="presOf" srcId="{371CE67B-6889-4AB8-924B-A4E243C8C4E8}" destId="{DD3825D5-DF98-4F68-A5D5-5D0131B9C33A}" srcOrd="1" destOrd="0" presId="urn:microsoft.com/office/officeart/2005/8/layout/radial5"/>
    <dgm:cxn modelId="{39152C21-91D1-49AD-A76C-599FB12B4D4C}" type="presOf" srcId="{72F60EA5-F2AC-4161-A74C-12AAA84B0ACC}" destId="{154C3A54-966D-4E0E-85CD-A92821ADD2F9}" srcOrd="0" destOrd="0" presId="urn:microsoft.com/office/officeart/2005/8/layout/radial5"/>
    <dgm:cxn modelId="{7A36F7E3-00EE-4619-81D7-06C127F0D4ED}" type="presOf" srcId="{6C4A8C07-CC7F-4FE1-942A-39D5579D0838}" destId="{FA998145-EF72-4FEA-B51E-6CC3B56722C4}" srcOrd="1" destOrd="0" presId="urn:microsoft.com/office/officeart/2005/8/layout/radial5"/>
    <dgm:cxn modelId="{351FA01D-80C2-47A6-A0EB-15554DAF9A3D}" type="presOf" srcId="{4C016D3F-2B27-46DA-989B-6B78D2498D6E}" destId="{495DC3FC-D64B-493B-B8E6-B7757FDD8E88}" srcOrd="0" destOrd="0" presId="urn:microsoft.com/office/officeart/2005/8/layout/radial5"/>
    <dgm:cxn modelId="{05963BD7-A002-43C1-A804-3B10A54912A9}" type="presOf" srcId="{1E577197-2150-455B-A37C-2359CD5F8969}" destId="{657CBB04-530C-4C4B-B0C2-0D7F3D85C5FB}" srcOrd="0" destOrd="0" presId="urn:microsoft.com/office/officeart/2005/8/layout/radial5"/>
    <dgm:cxn modelId="{8956B864-5D29-4D92-B33F-A41F9F354DF3}" type="presOf" srcId="{00002E9D-F4D2-4F98-B969-DE4CA2BB6274}" destId="{E49320EF-61E7-4DB1-B32A-A7C4712F9872}" srcOrd="0" destOrd="0" presId="urn:microsoft.com/office/officeart/2005/8/layout/radial5"/>
    <dgm:cxn modelId="{F459FA83-55AA-4841-A770-BD8D1CA3EDB6}" type="presOf" srcId="{3B80D28A-3943-4160-9791-6267B6E81579}" destId="{47471277-B1E6-4C5D-AEA1-EFEEE1DAE3F6}" srcOrd="0" destOrd="0" presId="urn:microsoft.com/office/officeart/2005/8/layout/radial5"/>
    <dgm:cxn modelId="{5C8E7F86-DFB0-419C-84A9-61FF3AC71CD8}" type="presOf" srcId="{CDE7C37F-B358-4DEC-ACC3-5B24516B0069}" destId="{35FF1FBF-CB34-4A26-8FCD-B8104E8DB54A}" srcOrd="0" destOrd="0" presId="urn:microsoft.com/office/officeart/2005/8/layout/radial5"/>
    <dgm:cxn modelId="{28D52A52-1507-4573-8BEC-8554253C7A9A}" srcId="{1E577197-2150-455B-A37C-2359CD5F8969}" destId="{BABE51CC-089F-4D97-9B8F-5C6CF899E326}" srcOrd="3" destOrd="0" parTransId="{CDE7C37F-B358-4DEC-ACC3-5B24516B0069}" sibTransId="{53F51907-4AE1-48FB-A0A7-8C44CD53CEEB}"/>
    <dgm:cxn modelId="{1C6852CA-30D5-4E8F-AD55-A6F6BDD5AF6A}" type="presOf" srcId="{6C4A8C07-CC7F-4FE1-942A-39D5579D0838}" destId="{23D9264A-BE6B-4E20-A2F3-ABC1F09AD868}" srcOrd="0" destOrd="0" presId="urn:microsoft.com/office/officeart/2005/8/layout/radial5"/>
    <dgm:cxn modelId="{17E36333-78AE-481C-B598-C2D0CE1EBBBD}" srcId="{1E577197-2150-455B-A37C-2359CD5F8969}" destId="{BFED11D4-4E00-44E6-ABAB-9FE2C57341F6}" srcOrd="2" destOrd="0" parTransId="{166122FB-A3CE-4BDD-8312-6E939F5014C2}" sibTransId="{EF95D56B-2C22-4FAF-AC96-FD148FCA17F2}"/>
    <dgm:cxn modelId="{96CCC3EA-E4E7-4C42-B3BB-8B18C1B25C2C}" type="presOf" srcId="{CDE7C37F-B358-4DEC-ACC3-5B24516B0069}" destId="{90C5C5D7-F5DB-4D84-AB66-BA298B9C7D3A}" srcOrd="1" destOrd="0" presId="urn:microsoft.com/office/officeart/2005/8/layout/radial5"/>
    <dgm:cxn modelId="{65BC3B6D-7E53-4D21-8F30-0D6C241FD767}" type="presOf" srcId="{BFED11D4-4E00-44E6-ABAB-9FE2C57341F6}" destId="{819A0EE6-F0C6-4C23-895D-C4576354C611}" srcOrd="0" destOrd="0" presId="urn:microsoft.com/office/officeart/2005/8/layout/radial5"/>
    <dgm:cxn modelId="{80F6D511-DA31-4F2E-8147-1E8210A4CA22}" type="presOf" srcId="{371CE67B-6889-4AB8-924B-A4E243C8C4E8}" destId="{B7CF9A0C-6784-4BDD-8127-DF99CC48D28B}" srcOrd="0" destOrd="0" presId="urn:microsoft.com/office/officeart/2005/8/layout/radial5"/>
    <dgm:cxn modelId="{A0A2FF5C-1722-414D-B49D-7A33AE6980B9}" srcId="{1E577197-2150-455B-A37C-2359CD5F8969}" destId="{00002E9D-F4D2-4F98-B969-DE4CA2BB6274}" srcOrd="1" destOrd="0" parTransId="{371CE67B-6889-4AB8-924B-A4E243C8C4E8}" sibTransId="{26F7F0AB-28EB-46C2-9668-AA9ADB32E6D8}"/>
    <dgm:cxn modelId="{CCC715B2-B21F-45F6-A0C5-77A53399A110}" type="presOf" srcId="{84E86F01-A01B-4514-8D45-FAD38FCD7462}" destId="{0638A58D-3444-446C-8926-52F8F3962EAD}" srcOrd="1" destOrd="0" presId="urn:microsoft.com/office/officeart/2005/8/layout/radial5"/>
    <dgm:cxn modelId="{48DA17A9-EC97-40DE-A367-D5B367F64C49}" type="presOf" srcId="{84E86F01-A01B-4514-8D45-FAD38FCD7462}" destId="{2100587D-8025-44AE-8771-68706094CAD2}" srcOrd="0" destOrd="0" presId="urn:microsoft.com/office/officeart/2005/8/layout/radial5"/>
    <dgm:cxn modelId="{695D7F42-CB4A-4ACB-97E4-6AECB8F4D0AB}" srcId="{1E577197-2150-455B-A37C-2359CD5F8969}" destId="{72F60EA5-F2AC-4161-A74C-12AAA84B0ACC}" srcOrd="0" destOrd="0" parTransId="{84E86F01-A01B-4514-8D45-FAD38FCD7462}" sibTransId="{3793F3ED-564C-46D3-9C61-AFF3A0FB3F86}"/>
    <dgm:cxn modelId="{36453148-5766-4B48-BFED-9E466F45ECAC}" type="presOf" srcId="{166122FB-A3CE-4BDD-8312-6E939F5014C2}" destId="{C58A3BBC-2664-4ABF-B743-9E90D944120A}" srcOrd="1" destOrd="0" presId="urn:microsoft.com/office/officeart/2005/8/layout/radial5"/>
    <dgm:cxn modelId="{93C1F443-2683-4D92-8614-8402BBEC2CEC}" srcId="{1E577197-2150-455B-A37C-2359CD5F8969}" destId="{3B80D28A-3943-4160-9791-6267B6E81579}" srcOrd="4" destOrd="0" parTransId="{6C4A8C07-CC7F-4FE1-942A-39D5579D0838}" sibTransId="{A09B6E40-9110-411A-95C7-5C365A50F7D2}"/>
    <dgm:cxn modelId="{2A73AD2D-6E4E-4496-B95A-8A5FD88E25DD}" type="presOf" srcId="{166122FB-A3CE-4BDD-8312-6E939F5014C2}" destId="{0B157747-7EDE-49AF-90AA-7D73B96D4834}" srcOrd="0" destOrd="0" presId="urn:microsoft.com/office/officeart/2005/8/layout/radial5"/>
    <dgm:cxn modelId="{7F7DFA17-F82B-4F8A-BB0F-2E4664C55DAB}" type="presOf" srcId="{BABE51CC-089F-4D97-9B8F-5C6CF899E326}" destId="{A826F2DB-B555-4550-9DE1-BD4DC19F5DA4}" srcOrd="0" destOrd="0" presId="urn:microsoft.com/office/officeart/2005/8/layout/radial5"/>
    <dgm:cxn modelId="{0A18EA3F-3AC1-4913-9E5D-296D03DB3E83}" srcId="{4C016D3F-2B27-46DA-989B-6B78D2498D6E}" destId="{1E577197-2150-455B-A37C-2359CD5F8969}" srcOrd="0" destOrd="0" parTransId="{8BDA0797-AB09-4ABC-BCCD-CBD06A5310F3}" sibTransId="{2C11C24A-48D2-4402-9C83-1B6318F49DCF}"/>
    <dgm:cxn modelId="{3A33471C-E3D3-4A40-9FB9-031CD1EDD125}" type="presParOf" srcId="{495DC3FC-D64B-493B-B8E6-B7757FDD8E88}" destId="{657CBB04-530C-4C4B-B0C2-0D7F3D85C5FB}" srcOrd="0" destOrd="0" presId="urn:microsoft.com/office/officeart/2005/8/layout/radial5"/>
    <dgm:cxn modelId="{B2575BCF-F8B0-42E1-BAE6-0A7DB4187484}" type="presParOf" srcId="{495DC3FC-D64B-493B-B8E6-B7757FDD8E88}" destId="{2100587D-8025-44AE-8771-68706094CAD2}" srcOrd="1" destOrd="0" presId="urn:microsoft.com/office/officeart/2005/8/layout/radial5"/>
    <dgm:cxn modelId="{8E7146E2-CB81-4709-A8E2-17CA93CCCE5E}" type="presParOf" srcId="{2100587D-8025-44AE-8771-68706094CAD2}" destId="{0638A58D-3444-446C-8926-52F8F3962EAD}" srcOrd="0" destOrd="0" presId="urn:microsoft.com/office/officeart/2005/8/layout/radial5"/>
    <dgm:cxn modelId="{ECD61557-4423-4A09-B246-BF4B38B7B002}" type="presParOf" srcId="{495DC3FC-D64B-493B-B8E6-B7757FDD8E88}" destId="{154C3A54-966D-4E0E-85CD-A92821ADD2F9}" srcOrd="2" destOrd="0" presId="urn:microsoft.com/office/officeart/2005/8/layout/radial5"/>
    <dgm:cxn modelId="{7EF9F665-9ADF-4C6B-B7DF-46E51F19EBFC}" type="presParOf" srcId="{495DC3FC-D64B-493B-B8E6-B7757FDD8E88}" destId="{B7CF9A0C-6784-4BDD-8127-DF99CC48D28B}" srcOrd="3" destOrd="0" presId="urn:microsoft.com/office/officeart/2005/8/layout/radial5"/>
    <dgm:cxn modelId="{CE966107-8977-448C-89AF-41A8C12B660B}" type="presParOf" srcId="{B7CF9A0C-6784-4BDD-8127-DF99CC48D28B}" destId="{DD3825D5-DF98-4F68-A5D5-5D0131B9C33A}" srcOrd="0" destOrd="0" presId="urn:microsoft.com/office/officeart/2005/8/layout/radial5"/>
    <dgm:cxn modelId="{1094CF7C-4E52-4142-B8C9-A648E6DC2118}" type="presParOf" srcId="{495DC3FC-D64B-493B-B8E6-B7757FDD8E88}" destId="{E49320EF-61E7-4DB1-B32A-A7C4712F9872}" srcOrd="4" destOrd="0" presId="urn:microsoft.com/office/officeart/2005/8/layout/radial5"/>
    <dgm:cxn modelId="{F1DEAA9F-4579-4877-9EB2-A86EDFF2FB2A}" type="presParOf" srcId="{495DC3FC-D64B-493B-B8E6-B7757FDD8E88}" destId="{0B157747-7EDE-49AF-90AA-7D73B96D4834}" srcOrd="5" destOrd="0" presId="urn:microsoft.com/office/officeart/2005/8/layout/radial5"/>
    <dgm:cxn modelId="{D047FE3F-75C9-4CFA-B81C-A19893357660}" type="presParOf" srcId="{0B157747-7EDE-49AF-90AA-7D73B96D4834}" destId="{C58A3BBC-2664-4ABF-B743-9E90D944120A}" srcOrd="0" destOrd="0" presId="urn:microsoft.com/office/officeart/2005/8/layout/radial5"/>
    <dgm:cxn modelId="{DA4B6CD8-70BC-465C-A7A8-3451B37DE63C}" type="presParOf" srcId="{495DC3FC-D64B-493B-B8E6-B7757FDD8E88}" destId="{819A0EE6-F0C6-4C23-895D-C4576354C611}" srcOrd="6" destOrd="0" presId="urn:microsoft.com/office/officeart/2005/8/layout/radial5"/>
    <dgm:cxn modelId="{8DEE192F-F07B-4B7C-AF88-B357A3290EB0}" type="presParOf" srcId="{495DC3FC-D64B-493B-B8E6-B7757FDD8E88}" destId="{35FF1FBF-CB34-4A26-8FCD-B8104E8DB54A}" srcOrd="7" destOrd="0" presId="urn:microsoft.com/office/officeart/2005/8/layout/radial5"/>
    <dgm:cxn modelId="{E250DAE5-9973-485C-92C1-EBEFBABAD36D}" type="presParOf" srcId="{35FF1FBF-CB34-4A26-8FCD-B8104E8DB54A}" destId="{90C5C5D7-F5DB-4D84-AB66-BA298B9C7D3A}" srcOrd="0" destOrd="0" presId="urn:microsoft.com/office/officeart/2005/8/layout/radial5"/>
    <dgm:cxn modelId="{9FD80398-5F74-4D2C-BDCC-0256681728BB}" type="presParOf" srcId="{495DC3FC-D64B-493B-B8E6-B7757FDD8E88}" destId="{A826F2DB-B555-4550-9DE1-BD4DC19F5DA4}" srcOrd="8" destOrd="0" presId="urn:microsoft.com/office/officeart/2005/8/layout/radial5"/>
    <dgm:cxn modelId="{CB38336A-321A-470E-B82D-58BB6019F71A}" type="presParOf" srcId="{495DC3FC-D64B-493B-B8E6-B7757FDD8E88}" destId="{23D9264A-BE6B-4E20-A2F3-ABC1F09AD868}" srcOrd="9" destOrd="0" presId="urn:microsoft.com/office/officeart/2005/8/layout/radial5"/>
    <dgm:cxn modelId="{3BD810C5-EE13-4B6D-9271-1E7519C2F9E8}" type="presParOf" srcId="{23D9264A-BE6B-4E20-A2F3-ABC1F09AD868}" destId="{FA998145-EF72-4FEA-B51E-6CC3B56722C4}" srcOrd="0" destOrd="0" presId="urn:microsoft.com/office/officeart/2005/8/layout/radial5"/>
    <dgm:cxn modelId="{4CAA133E-98EE-431D-B88B-0398447BAF54}" type="presParOf" srcId="{495DC3FC-D64B-493B-B8E6-B7757FDD8E88}" destId="{47471277-B1E6-4C5D-AEA1-EFEEE1DAE3F6}" srcOrd="10" destOrd="0" presId="urn:microsoft.com/office/officeart/2005/8/layout/radial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E1373-76DE-42D9-8F9A-537620C1079C}">
      <dsp:nvSpPr>
        <dsp:cNvPr id="0" name=""/>
        <dsp:cNvSpPr/>
      </dsp:nvSpPr>
      <dsp:spPr>
        <a:xfrm rot="5400000">
          <a:off x="3631060" y="-1930891"/>
          <a:ext cx="268222" cy="4198595"/>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Information et communication</a:t>
          </a:r>
          <a:endParaRPr lang="fr-FR" sz="1200" b="0" kern="1200"/>
        </a:p>
      </dsp:txBody>
      <dsp:txXfrm rot="-5400000">
        <a:off x="1665874" y="47389"/>
        <a:ext cx="4185501" cy="242034"/>
      </dsp:txXfrm>
    </dsp:sp>
    <dsp:sp modelId="{9D2F98C0-1C1C-4D51-9696-3779E8005A09}">
      <dsp:nvSpPr>
        <dsp:cNvPr id="0" name=""/>
        <dsp:cNvSpPr/>
      </dsp:nvSpPr>
      <dsp:spPr>
        <a:xfrm>
          <a:off x="91322" y="766"/>
          <a:ext cx="1574551" cy="33527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Section</a:t>
          </a:r>
          <a:r>
            <a:rPr lang="fr-FR" sz="1200" b="1" kern="1200"/>
            <a:t>: J</a:t>
          </a:r>
        </a:p>
      </dsp:txBody>
      <dsp:txXfrm>
        <a:off x="107689" y="17133"/>
        <a:ext cx="1541817" cy="302544"/>
      </dsp:txXfrm>
    </dsp:sp>
    <dsp:sp modelId="{9E35A64B-BF37-43F1-B661-58F19E77D976}">
      <dsp:nvSpPr>
        <dsp:cNvPr id="0" name=""/>
        <dsp:cNvSpPr/>
      </dsp:nvSpPr>
      <dsp:spPr>
        <a:xfrm rot="5400000">
          <a:off x="3631060" y="-1578849"/>
          <a:ext cx="268222" cy="4198595"/>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Programmation, conseil et autres activités informatiques</a:t>
          </a:r>
          <a:endParaRPr lang="fr-FR" sz="1200" b="0" kern="1200"/>
        </a:p>
      </dsp:txBody>
      <dsp:txXfrm rot="-5400000">
        <a:off x="1665874" y="399431"/>
        <a:ext cx="4185501" cy="242034"/>
      </dsp:txXfrm>
    </dsp:sp>
    <dsp:sp modelId="{AE874309-08C3-45D4-8E64-908BF791F36E}">
      <dsp:nvSpPr>
        <dsp:cNvPr id="0" name=""/>
        <dsp:cNvSpPr/>
      </dsp:nvSpPr>
      <dsp:spPr>
        <a:xfrm>
          <a:off x="91322" y="352808"/>
          <a:ext cx="1574551" cy="33527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Division: </a:t>
          </a:r>
          <a:r>
            <a:rPr lang="fr-FR" sz="1200" b="1" kern="1200"/>
            <a:t>62</a:t>
          </a:r>
        </a:p>
      </dsp:txBody>
      <dsp:txXfrm>
        <a:off x="107689" y="369175"/>
        <a:ext cx="1541817" cy="302544"/>
      </dsp:txXfrm>
    </dsp:sp>
    <dsp:sp modelId="{F98E0FC9-1E26-4491-A7D6-3B2D0328DF7E}">
      <dsp:nvSpPr>
        <dsp:cNvPr id="0" name=""/>
        <dsp:cNvSpPr/>
      </dsp:nvSpPr>
      <dsp:spPr>
        <a:xfrm rot="5400000">
          <a:off x="3631060" y="-1226807"/>
          <a:ext cx="268222" cy="4198595"/>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Programmation, conseil et autres activités informatiques</a:t>
          </a:r>
          <a:endParaRPr lang="fr-FR" sz="1200" b="0" kern="1200"/>
        </a:p>
      </dsp:txBody>
      <dsp:txXfrm rot="-5400000">
        <a:off x="1665874" y="751473"/>
        <a:ext cx="4185501" cy="242034"/>
      </dsp:txXfrm>
    </dsp:sp>
    <dsp:sp modelId="{1185000B-75F9-4F47-AB75-20CEFB9C71C9}">
      <dsp:nvSpPr>
        <dsp:cNvPr id="0" name=""/>
        <dsp:cNvSpPr/>
      </dsp:nvSpPr>
      <dsp:spPr>
        <a:xfrm>
          <a:off x="91322" y="704850"/>
          <a:ext cx="1574551" cy="33527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Groupe: </a:t>
          </a:r>
          <a:r>
            <a:rPr lang="fr-FR" sz="1200" b="1" kern="1200"/>
            <a:t>62.0</a:t>
          </a:r>
        </a:p>
      </dsp:txBody>
      <dsp:txXfrm>
        <a:off x="107689" y="721217"/>
        <a:ext cx="1541817" cy="302544"/>
      </dsp:txXfrm>
    </dsp:sp>
    <dsp:sp modelId="{95071F27-0411-437D-A0DA-7915161148D2}">
      <dsp:nvSpPr>
        <dsp:cNvPr id="0" name=""/>
        <dsp:cNvSpPr/>
      </dsp:nvSpPr>
      <dsp:spPr>
        <a:xfrm rot="5400000">
          <a:off x="3631060" y="-874765"/>
          <a:ext cx="268222" cy="4198595"/>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Conseil informatique</a:t>
          </a:r>
          <a:endParaRPr lang="fr-FR" sz="1200" b="0" kern="1200"/>
        </a:p>
      </dsp:txBody>
      <dsp:txXfrm rot="-5400000">
        <a:off x="1665874" y="1103515"/>
        <a:ext cx="4185501" cy="242034"/>
      </dsp:txXfrm>
    </dsp:sp>
    <dsp:sp modelId="{B28BEC03-4BF7-4C95-80D5-52DD8DA291F5}">
      <dsp:nvSpPr>
        <dsp:cNvPr id="0" name=""/>
        <dsp:cNvSpPr/>
      </dsp:nvSpPr>
      <dsp:spPr>
        <a:xfrm>
          <a:off x="91322" y="1056892"/>
          <a:ext cx="1574551" cy="33527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Classe: </a:t>
          </a:r>
          <a:r>
            <a:rPr lang="fr-FR" sz="1200" b="1" kern="1200"/>
            <a:t>62.02</a:t>
          </a:r>
        </a:p>
      </dsp:txBody>
      <dsp:txXfrm>
        <a:off x="107689" y="1073259"/>
        <a:ext cx="1541817" cy="302544"/>
      </dsp:txXfrm>
    </dsp:sp>
    <dsp:sp modelId="{CBA3D403-0F29-444D-B318-821514144C30}">
      <dsp:nvSpPr>
        <dsp:cNvPr id="0" name=""/>
        <dsp:cNvSpPr/>
      </dsp:nvSpPr>
      <dsp:spPr>
        <a:xfrm rot="5400000">
          <a:off x="3631060" y="-522723"/>
          <a:ext cx="268222" cy="4198595"/>
        </a:xfrm>
        <a:prstGeom prst="round2Same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Conseil en systèmes et logiciels informatiques</a:t>
          </a:r>
          <a:endParaRPr lang="fr-FR" sz="1200" b="0" kern="1200"/>
        </a:p>
      </dsp:txBody>
      <dsp:txXfrm rot="-5400000">
        <a:off x="1665874" y="1455557"/>
        <a:ext cx="4185501" cy="242034"/>
      </dsp:txXfrm>
    </dsp:sp>
    <dsp:sp modelId="{360C7631-F353-4390-9712-636E68DC660D}">
      <dsp:nvSpPr>
        <dsp:cNvPr id="0" name=""/>
        <dsp:cNvSpPr/>
      </dsp:nvSpPr>
      <dsp:spPr>
        <a:xfrm>
          <a:off x="91322" y="1408935"/>
          <a:ext cx="1574551" cy="335278"/>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Sous classe: </a:t>
          </a:r>
          <a:r>
            <a:rPr lang="fr-FR" sz="1200" b="1" kern="1200"/>
            <a:t>62.02.A</a:t>
          </a:r>
        </a:p>
      </dsp:txBody>
      <dsp:txXfrm>
        <a:off x="107689" y="1425302"/>
        <a:ext cx="1541817" cy="3025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7CBB04-530C-4C4B-B0C2-0D7F3D85C5FB}">
      <dsp:nvSpPr>
        <dsp:cNvPr id="0" name=""/>
        <dsp:cNvSpPr/>
      </dsp:nvSpPr>
      <dsp:spPr>
        <a:xfrm>
          <a:off x="3383759" y="1772864"/>
          <a:ext cx="2762145" cy="23601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Groupes stratégiques</a:t>
          </a:r>
        </a:p>
        <a:p>
          <a:pPr lvl="0" algn="ctr" defTabSz="622300">
            <a:lnSpc>
              <a:spcPct val="90000"/>
            </a:lnSpc>
            <a:spcBef>
              <a:spcPct val="0"/>
            </a:spcBef>
            <a:spcAft>
              <a:spcPct val="35000"/>
            </a:spcAft>
          </a:pPr>
          <a:r>
            <a:rPr lang="fr-FR" sz="1400" kern="1200"/>
            <a:t>- Grands généralistes </a:t>
          </a:r>
        </a:p>
        <a:p>
          <a:pPr lvl="0" algn="ctr" defTabSz="622300">
            <a:lnSpc>
              <a:spcPct val="90000"/>
            </a:lnSpc>
            <a:spcBef>
              <a:spcPct val="0"/>
            </a:spcBef>
            <a:spcAft>
              <a:spcPct val="35000"/>
            </a:spcAft>
          </a:pPr>
          <a:r>
            <a:rPr lang="fr-FR" sz="1400" kern="1200"/>
            <a:t>- Petits généralistes </a:t>
          </a:r>
        </a:p>
        <a:p>
          <a:pPr lvl="0" algn="ctr" defTabSz="622300">
            <a:lnSpc>
              <a:spcPct val="90000"/>
            </a:lnSpc>
            <a:spcBef>
              <a:spcPct val="0"/>
            </a:spcBef>
            <a:spcAft>
              <a:spcPct val="35000"/>
            </a:spcAft>
          </a:pPr>
          <a:r>
            <a:rPr lang="fr-FR" sz="1400" kern="1200"/>
            <a:t>- Spécialistes métier </a:t>
          </a:r>
        </a:p>
        <a:p>
          <a:pPr lvl="0" algn="ctr" defTabSz="622300">
            <a:lnSpc>
              <a:spcPct val="90000"/>
            </a:lnSpc>
            <a:spcBef>
              <a:spcPct val="0"/>
            </a:spcBef>
            <a:spcAft>
              <a:spcPct val="35000"/>
            </a:spcAft>
          </a:pPr>
          <a:r>
            <a:rPr lang="fr-FR" sz="1400" kern="1200"/>
            <a:t>- Experts techniques </a:t>
          </a:r>
        </a:p>
        <a:p>
          <a:pPr lvl="0" algn="ctr" defTabSz="622300">
            <a:lnSpc>
              <a:spcPct val="90000"/>
            </a:lnSpc>
            <a:spcBef>
              <a:spcPct val="0"/>
            </a:spcBef>
            <a:spcAft>
              <a:spcPct val="35000"/>
            </a:spcAft>
          </a:pPr>
          <a:r>
            <a:rPr lang="fr-FR" sz="1400" kern="1200"/>
            <a:t>- Talents</a:t>
          </a:r>
        </a:p>
      </dsp:txBody>
      <dsp:txXfrm>
        <a:off x="3788266" y="2118507"/>
        <a:ext cx="1953131" cy="1668912"/>
      </dsp:txXfrm>
    </dsp:sp>
    <dsp:sp modelId="{2100587D-8025-44AE-8771-68706094CAD2}">
      <dsp:nvSpPr>
        <dsp:cNvPr id="0" name=""/>
        <dsp:cNvSpPr/>
      </dsp:nvSpPr>
      <dsp:spPr>
        <a:xfrm rot="5416470">
          <a:off x="4632069" y="1228797"/>
          <a:ext cx="256200"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rot="10800000">
        <a:off x="4670683" y="1314217"/>
        <a:ext cx="179340" cy="371550"/>
      </dsp:txXfrm>
    </dsp:sp>
    <dsp:sp modelId="{154C3A54-966D-4E0E-85CD-A92821ADD2F9}">
      <dsp:nvSpPr>
        <dsp:cNvPr id="0" name=""/>
        <dsp:cNvSpPr/>
      </dsp:nvSpPr>
      <dsp:spPr>
        <a:xfrm>
          <a:off x="3232448" y="140219"/>
          <a:ext cx="3050010" cy="11492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Entrants potentiels</a:t>
          </a:r>
        </a:p>
        <a:p>
          <a:pPr lvl="0" algn="ctr" defTabSz="622300">
            <a:lnSpc>
              <a:spcPct val="90000"/>
            </a:lnSpc>
            <a:spcBef>
              <a:spcPct val="0"/>
            </a:spcBef>
            <a:spcAft>
              <a:spcPct val="35000"/>
            </a:spcAft>
          </a:pPr>
          <a:r>
            <a:rPr lang="fr-FR" sz="1400" kern="1200"/>
            <a:t>- Réseaux de freelance</a:t>
          </a:r>
        </a:p>
        <a:p>
          <a:pPr lvl="0" algn="ctr" defTabSz="622300">
            <a:lnSpc>
              <a:spcPct val="90000"/>
            </a:lnSpc>
            <a:spcBef>
              <a:spcPct val="0"/>
            </a:spcBef>
            <a:spcAft>
              <a:spcPct val="35000"/>
            </a:spcAft>
          </a:pPr>
          <a:r>
            <a:rPr lang="fr-FR" sz="1400" kern="1200"/>
            <a:t>- Entreprises de portage</a:t>
          </a:r>
        </a:p>
        <a:p>
          <a:pPr lvl="0" algn="ctr" defTabSz="622300">
            <a:lnSpc>
              <a:spcPct val="90000"/>
            </a:lnSpc>
            <a:spcBef>
              <a:spcPct val="0"/>
            </a:spcBef>
            <a:spcAft>
              <a:spcPct val="35000"/>
            </a:spcAft>
          </a:pPr>
          <a:r>
            <a:rPr lang="fr-FR" sz="1400" kern="1200"/>
            <a:t>- Linkedin</a:t>
          </a:r>
        </a:p>
      </dsp:txBody>
      <dsp:txXfrm>
        <a:off x="3679112" y="308524"/>
        <a:ext cx="2156682" cy="812646"/>
      </dsp:txXfrm>
    </dsp:sp>
    <dsp:sp modelId="{B7CF9A0C-6784-4BDD-8127-DF99CC48D28B}">
      <dsp:nvSpPr>
        <dsp:cNvPr id="0" name=""/>
        <dsp:cNvSpPr/>
      </dsp:nvSpPr>
      <dsp:spPr>
        <a:xfrm rot="14035306">
          <a:off x="5521040" y="4006030"/>
          <a:ext cx="493541"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a:off x="5638667" y="4189713"/>
        <a:ext cx="345479" cy="371550"/>
      </dsp:txXfrm>
    </dsp:sp>
    <dsp:sp modelId="{E49320EF-61E7-4DB1-B32A-A7C4712F9872}">
      <dsp:nvSpPr>
        <dsp:cNvPr id="0" name=""/>
        <dsp:cNvSpPr/>
      </dsp:nvSpPr>
      <dsp:spPr>
        <a:xfrm>
          <a:off x="5423486" y="4677901"/>
          <a:ext cx="1866494" cy="8757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b="1" kern="1200">
              <a:solidFill>
                <a:srgbClr val="FFFF00"/>
              </a:solidFill>
            </a:rPr>
            <a:t>Substituts</a:t>
          </a:r>
        </a:p>
        <a:p>
          <a:pPr lvl="0" algn="ctr" defTabSz="711200">
            <a:lnSpc>
              <a:spcPct val="90000"/>
            </a:lnSpc>
            <a:spcBef>
              <a:spcPct val="0"/>
            </a:spcBef>
            <a:spcAft>
              <a:spcPct val="35000"/>
            </a:spcAft>
          </a:pPr>
          <a:r>
            <a:rPr lang="fr-FR" sz="1600" kern="1200"/>
            <a:t>Conseil en interne</a:t>
          </a:r>
          <a:endParaRPr lang="fr-FR" sz="5300" kern="1200"/>
        </a:p>
      </dsp:txBody>
      <dsp:txXfrm>
        <a:off x="5696828" y="4806157"/>
        <a:ext cx="1319810" cy="619272"/>
      </dsp:txXfrm>
    </dsp:sp>
    <dsp:sp modelId="{0B157747-7EDE-49AF-90AA-7D73B96D4834}">
      <dsp:nvSpPr>
        <dsp:cNvPr id="0" name=""/>
        <dsp:cNvSpPr/>
      </dsp:nvSpPr>
      <dsp:spPr>
        <a:xfrm rot="10982964">
          <a:off x="6243088" y="2634696"/>
          <a:ext cx="234198"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a:off x="6313297" y="2760415"/>
        <a:ext cx="163939" cy="371550"/>
      </dsp:txXfrm>
    </dsp:sp>
    <dsp:sp modelId="{819A0EE6-F0C6-4C23-895D-C4576354C611}">
      <dsp:nvSpPr>
        <dsp:cNvPr id="0" name=""/>
        <dsp:cNvSpPr/>
      </dsp:nvSpPr>
      <dsp:spPr>
        <a:xfrm>
          <a:off x="6587730" y="1678153"/>
          <a:ext cx="2725814" cy="25151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Clients</a:t>
          </a:r>
        </a:p>
        <a:p>
          <a:pPr lvl="0" algn="ctr" defTabSz="622300">
            <a:lnSpc>
              <a:spcPct val="90000"/>
            </a:lnSpc>
            <a:spcBef>
              <a:spcPct val="0"/>
            </a:spcBef>
            <a:spcAft>
              <a:spcPct val="35000"/>
            </a:spcAft>
          </a:pPr>
          <a:r>
            <a:rPr lang="fr-FR" sz="1400" kern="1200"/>
            <a:t>- Banques et assurances </a:t>
          </a:r>
        </a:p>
        <a:p>
          <a:pPr lvl="0" algn="ctr" defTabSz="622300">
            <a:lnSpc>
              <a:spcPct val="90000"/>
            </a:lnSpc>
            <a:spcBef>
              <a:spcPct val="0"/>
            </a:spcBef>
            <a:spcAft>
              <a:spcPct val="35000"/>
            </a:spcAft>
          </a:pPr>
          <a:r>
            <a:rPr lang="fr-FR" sz="1400" kern="1200"/>
            <a:t>- Secteur public </a:t>
          </a:r>
        </a:p>
        <a:p>
          <a:pPr lvl="0" algn="ctr" defTabSz="622300">
            <a:lnSpc>
              <a:spcPct val="90000"/>
            </a:lnSpc>
            <a:spcBef>
              <a:spcPct val="0"/>
            </a:spcBef>
            <a:spcAft>
              <a:spcPct val="35000"/>
            </a:spcAft>
          </a:pPr>
          <a:r>
            <a:rPr lang="fr-FR" sz="1400" kern="1200"/>
            <a:t>- Industrie </a:t>
          </a:r>
        </a:p>
        <a:p>
          <a:pPr lvl="0" algn="ctr" defTabSz="622300">
            <a:lnSpc>
              <a:spcPct val="90000"/>
            </a:lnSpc>
            <a:spcBef>
              <a:spcPct val="0"/>
            </a:spcBef>
            <a:spcAft>
              <a:spcPct val="35000"/>
            </a:spcAft>
          </a:pPr>
          <a:r>
            <a:rPr lang="fr-FR" sz="1400" kern="1200"/>
            <a:t>- Commerce gros et détail </a:t>
          </a:r>
        </a:p>
        <a:p>
          <a:pPr lvl="0" algn="ctr" defTabSz="622300">
            <a:lnSpc>
              <a:spcPct val="90000"/>
            </a:lnSpc>
            <a:spcBef>
              <a:spcPct val="0"/>
            </a:spcBef>
            <a:spcAft>
              <a:spcPct val="35000"/>
            </a:spcAft>
          </a:pPr>
          <a:r>
            <a:rPr lang="fr-FR" sz="1400" kern="1200"/>
            <a:t>- Télécoms </a:t>
          </a:r>
        </a:p>
        <a:p>
          <a:pPr lvl="0" algn="ctr" defTabSz="622300">
            <a:lnSpc>
              <a:spcPct val="90000"/>
            </a:lnSpc>
            <a:spcBef>
              <a:spcPct val="0"/>
            </a:spcBef>
            <a:spcAft>
              <a:spcPct val="35000"/>
            </a:spcAft>
          </a:pPr>
          <a:r>
            <a:rPr lang="fr-FR" sz="1400" kern="1200"/>
            <a:t>- Energie </a:t>
          </a:r>
        </a:p>
      </dsp:txBody>
      <dsp:txXfrm>
        <a:off x="6986916" y="2046481"/>
        <a:ext cx="1927442" cy="1778448"/>
      </dsp:txXfrm>
    </dsp:sp>
    <dsp:sp modelId="{35FF1FBF-CB34-4A26-8FCD-B8104E8DB54A}">
      <dsp:nvSpPr>
        <dsp:cNvPr id="0" name=""/>
        <dsp:cNvSpPr/>
      </dsp:nvSpPr>
      <dsp:spPr>
        <a:xfrm rot="18719264">
          <a:off x="3185633" y="3962707"/>
          <a:ext cx="618688"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rot="10800000">
        <a:off x="3216353" y="4155536"/>
        <a:ext cx="433082" cy="371550"/>
      </dsp:txXfrm>
    </dsp:sp>
    <dsp:sp modelId="{A826F2DB-B555-4550-9DE1-BD4DC19F5DA4}">
      <dsp:nvSpPr>
        <dsp:cNvPr id="0" name=""/>
        <dsp:cNvSpPr/>
      </dsp:nvSpPr>
      <dsp:spPr>
        <a:xfrm>
          <a:off x="760245" y="4685217"/>
          <a:ext cx="3643270" cy="10716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Cadre réglementaire</a:t>
          </a:r>
        </a:p>
        <a:p>
          <a:pPr lvl="0" algn="ctr" defTabSz="622300">
            <a:lnSpc>
              <a:spcPct val="90000"/>
            </a:lnSpc>
            <a:spcBef>
              <a:spcPct val="0"/>
            </a:spcBef>
            <a:spcAft>
              <a:spcPct val="35000"/>
            </a:spcAft>
          </a:pPr>
          <a:r>
            <a:rPr lang="fr-FR" sz="1400" kern="1200"/>
            <a:t>- Plusieurs sources de droit des SI </a:t>
          </a:r>
        </a:p>
        <a:p>
          <a:pPr lvl="0" algn="ctr" defTabSz="622300">
            <a:lnSpc>
              <a:spcPct val="90000"/>
            </a:lnSpc>
            <a:spcBef>
              <a:spcPct val="0"/>
            </a:spcBef>
            <a:spcAft>
              <a:spcPct val="35000"/>
            </a:spcAft>
          </a:pPr>
          <a:r>
            <a:rPr lang="fr-FR" sz="1400" kern="1200"/>
            <a:t>- Menaces juridiques</a:t>
          </a:r>
        </a:p>
        <a:p>
          <a:pPr lvl="0" algn="ctr" defTabSz="622300">
            <a:lnSpc>
              <a:spcPct val="90000"/>
            </a:lnSpc>
            <a:spcBef>
              <a:spcPct val="0"/>
            </a:spcBef>
            <a:spcAft>
              <a:spcPct val="35000"/>
            </a:spcAft>
          </a:pPr>
          <a:r>
            <a:rPr lang="fr-FR" sz="1400" kern="1200"/>
            <a:t>- Protection</a:t>
          </a:r>
        </a:p>
      </dsp:txBody>
      <dsp:txXfrm>
        <a:off x="1293790" y="4842154"/>
        <a:ext cx="2576180" cy="757757"/>
      </dsp:txXfrm>
    </dsp:sp>
    <dsp:sp modelId="{23D9264A-BE6B-4E20-A2F3-ABC1F09AD868}">
      <dsp:nvSpPr>
        <dsp:cNvPr id="0" name=""/>
        <dsp:cNvSpPr/>
      </dsp:nvSpPr>
      <dsp:spPr>
        <a:xfrm rot="21577636">
          <a:off x="2879930" y="2682134"/>
          <a:ext cx="356443"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rot="10800000">
        <a:off x="2879931" y="2806332"/>
        <a:ext cx="249510" cy="371550"/>
      </dsp:txXfrm>
    </dsp:sp>
    <dsp:sp modelId="{47471277-B1E6-4C5D-AEA1-EFEEE1DAE3F6}">
      <dsp:nvSpPr>
        <dsp:cNvPr id="0" name=""/>
        <dsp:cNvSpPr/>
      </dsp:nvSpPr>
      <dsp:spPr>
        <a:xfrm>
          <a:off x="0" y="1754410"/>
          <a:ext cx="2712281" cy="25520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Fournisseurs </a:t>
          </a:r>
        </a:p>
        <a:p>
          <a:pPr lvl="0" algn="ctr" defTabSz="622300">
            <a:lnSpc>
              <a:spcPct val="90000"/>
            </a:lnSpc>
            <a:spcBef>
              <a:spcPct val="0"/>
            </a:spcBef>
            <a:spcAft>
              <a:spcPct val="35000"/>
            </a:spcAft>
          </a:pPr>
          <a:r>
            <a:rPr lang="fr-FR" sz="1400" kern="1200"/>
            <a:t>Les consultants</a:t>
          </a:r>
          <a:endParaRPr lang="fr-FR" sz="5000" kern="1200"/>
        </a:p>
      </dsp:txBody>
      <dsp:txXfrm>
        <a:off x="397204" y="2128153"/>
        <a:ext cx="1917873" cy="180459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C7EF5F198C4527A786A4EB6A2AAB3F"/>
        <w:category>
          <w:name w:val="General"/>
          <w:gallery w:val="placeholder"/>
        </w:category>
        <w:types>
          <w:type w:val="bbPlcHdr"/>
        </w:types>
        <w:behaviors>
          <w:behavior w:val="content"/>
        </w:behaviors>
        <w:guid w:val="{21A80918-FEFF-458B-B776-0A7EE8CC7307}"/>
      </w:docPartPr>
      <w:docPartBody>
        <w:p w:rsidR="00AC5AB1" w:rsidRDefault="00AC5AB1" w:rsidP="00AC5AB1">
          <w:pPr>
            <w:pStyle w:val="EBC7EF5F198C4527A786A4EB6A2AAB3F"/>
          </w:pPr>
          <w:r w:rsidRPr="00BF18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407893"/>
    <w:rsid w:val="00023562"/>
    <w:rsid w:val="00025DCF"/>
    <w:rsid w:val="00035E6E"/>
    <w:rsid w:val="0006488F"/>
    <w:rsid w:val="00077570"/>
    <w:rsid w:val="000E0706"/>
    <w:rsid w:val="00141BC8"/>
    <w:rsid w:val="001E005E"/>
    <w:rsid w:val="00297B44"/>
    <w:rsid w:val="002A3205"/>
    <w:rsid w:val="003034CE"/>
    <w:rsid w:val="003168E7"/>
    <w:rsid w:val="0037689F"/>
    <w:rsid w:val="003D1C02"/>
    <w:rsid w:val="00407893"/>
    <w:rsid w:val="00422E19"/>
    <w:rsid w:val="00515610"/>
    <w:rsid w:val="00633A36"/>
    <w:rsid w:val="00706AB7"/>
    <w:rsid w:val="00726B40"/>
    <w:rsid w:val="00780600"/>
    <w:rsid w:val="00834FC1"/>
    <w:rsid w:val="008E0CBA"/>
    <w:rsid w:val="008E6550"/>
    <w:rsid w:val="00A02A7B"/>
    <w:rsid w:val="00A35E84"/>
    <w:rsid w:val="00AC5AB1"/>
    <w:rsid w:val="00B55BF9"/>
    <w:rsid w:val="00B71983"/>
    <w:rsid w:val="00B76E1B"/>
    <w:rsid w:val="00BC6FA0"/>
    <w:rsid w:val="00BE7295"/>
    <w:rsid w:val="00CC4C1F"/>
    <w:rsid w:val="00D00FA4"/>
    <w:rsid w:val="00D21742"/>
    <w:rsid w:val="00E5229C"/>
    <w:rsid w:val="00E77B8B"/>
    <w:rsid w:val="00EF0836"/>
    <w:rsid w:val="00EF0B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A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F96995B4214652A3BD6B5F7352DC94">
    <w:name w:val="1FF96995B4214652A3BD6B5F7352DC94"/>
    <w:rsid w:val="00407893"/>
  </w:style>
  <w:style w:type="paragraph" w:customStyle="1" w:styleId="13948BB4E9F54E43A409943098D09F47">
    <w:name w:val="13948BB4E9F54E43A409943098D09F47"/>
    <w:rsid w:val="00407893"/>
  </w:style>
  <w:style w:type="paragraph" w:customStyle="1" w:styleId="CF815A726D6A42A3895AC8F509A5E09C">
    <w:name w:val="CF815A726D6A42A3895AC8F509A5E09C"/>
    <w:rsid w:val="00407893"/>
  </w:style>
  <w:style w:type="paragraph" w:customStyle="1" w:styleId="EC5E95A5442643DAA795CD6A231ED26A">
    <w:name w:val="EC5E95A5442643DAA795CD6A231ED26A"/>
    <w:rsid w:val="00407893"/>
  </w:style>
  <w:style w:type="paragraph" w:customStyle="1" w:styleId="7B03BB02E758476AB60688A7252C3617">
    <w:name w:val="7B03BB02E758476AB60688A7252C3617"/>
    <w:rsid w:val="00407893"/>
  </w:style>
  <w:style w:type="paragraph" w:customStyle="1" w:styleId="EADED91B8C92451EB1C893240AFD65F9">
    <w:name w:val="EADED91B8C92451EB1C893240AFD65F9"/>
    <w:rsid w:val="00407893"/>
  </w:style>
  <w:style w:type="paragraph" w:customStyle="1" w:styleId="662AFA49AB214C8EB63F6B97A5D93AD1">
    <w:name w:val="662AFA49AB214C8EB63F6B97A5D93AD1"/>
    <w:rsid w:val="00407893"/>
  </w:style>
  <w:style w:type="paragraph" w:customStyle="1" w:styleId="F017B71644AB425489FA2B9636F22608">
    <w:name w:val="F017B71644AB425489FA2B9636F22608"/>
    <w:rsid w:val="00407893"/>
  </w:style>
  <w:style w:type="paragraph" w:customStyle="1" w:styleId="9B6257FF10494408B8CA1B72A73D0701">
    <w:name w:val="9B6257FF10494408B8CA1B72A73D0701"/>
    <w:rsid w:val="00407893"/>
  </w:style>
  <w:style w:type="paragraph" w:customStyle="1" w:styleId="AC43F8FAA3464D8EA5864D79D5950016">
    <w:name w:val="AC43F8FAA3464D8EA5864D79D5950016"/>
    <w:rsid w:val="00407893"/>
  </w:style>
  <w:style w:type="paragraph" w:customStyle="1" w:styleId="3B955ADB18484972856450A56DA08E03">
    <w:name w:val="3B955ADB18484972856450A56DA08E03"/>
    <w:rsid w:val="00407893"/>
  </w:style>
  <w:style w:type="paragraph" w:customStyle="1" w:styleId="E06AB08D41024B34B3F90178E3CD9AB4">
    <w:name w:val="E06AB08D41024B34B3F90178E3CD9AB4"/>
    <w:rsid w:val="00407893"/>
  </w:style>
  <w:style w:type="paragraph" w:customStyle="1" w:styleId="BC0719A8765E4FE590C3B4CA070DCFFB">
    <w:name w:val="BC0719A8765E4FE590C3B4CA070DCFFB"/>
    <w:rsid w:val="00407893"/>
  </w:style>
  <w:style w:type="paragraph" w:customStyle="1" w:styleId="5CAA758BC97740D38FCDD4E75B6F0E48">
    <w:name w:val="5CAA758BC97740D38FCDD4E75B6F0E48"/>
    <w:rsid w:val="00407893"/>
  </w:style>
  <w:style w:type="character" w:styleId="PlaceholderText">
    <w:name w:val="Placeholder Text"/>
    <w:basedOn w:val="DefaultParagraphFont"/>
    <w:uiPriority w:val="99"/>
    <w:semiHidden/>
    <w:rsid w:val="00AC5AB1"/>
    <w:rPr>
      <w:color w:val="808080"/>
    </w:rPr>
  </w:style>
  <w:style w:type="paragraph" w:customStyle="1" w:styleId="3E641DDA0F7D47159D8A8E4BD41ED705">
    <w:name w:val="3E641DDA0F7D47159D8A8E4BD41ED705"/>
    <w:rsid w:val="00407893"/>
  </w:style>
  <w:style w:type="paragraph" w:customStyle="1" w:styleId="17C7E8900FB54EEAAF21AB93C129A8B7">
    <w:name w:val="17C7E8900FB54EEAAF21AB93C129A8B7"/>
    <w:rsid w:val="00407893"/>
  </w:style>
  <w:style w:type="paragraph" w:customStyle="1" w:styleId="7ADB58ED4601406EA1DB599EF054B559">
    <w:name w:val="7ADB58ED4601406EA1DB599EF054B559"/>
    <w:rsid w:val="00AC5AB1"/>
  </w:style>
  <w:style w:type="paragraph" w:customStyle="1" w:styleId="EBC7EF5F198C4527A786A4EB6A2AAB3F">
    <w:name w:val="EBC7EF5F198C4527A786A4EB6A2AAB3F"/>
    <w:rsid w:val="00AC5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64C776-D778-4081-81AE-F40BBD21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DSE.dot</Template>
  <TotalTime>25</TotalTime>
  <Pages>57</Pages>
  <Words>10133</Words>
  <Characters>55734</Characters>
  <Application>Microsoft Office Word</Application>
  <DocSecurity>0</DocSecurity>
  <Lines>464</Lines>
  <Paragraphs>131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EPT204 : Analyse du secteur conseil en systèmes et logiciels informatiques (6202A) en France</vt:lpstr>
      <vt:lpstr>EPT204 : Analyse du secteur conseil en systèmes et logiciels informatiques (6202A) en France</vt:lpstr>
    </vt:vector>
  </TitlesOfParts>
  <Company/>
  <LinksUpToDate>false</LinksUpToDate>
  <CharactersWithSpaces>65736</CharactersWithSpaces>
  <SharedDoc>false</SharedDoc>
  <HLinks>
    <vt:vector size="138" baseType="variant">
      <vt:variant>
        <vt:i4>1376305</vt:i4>
      </vt:variant>
      <vt:variant>
        <vt:i4>191</vt:i4>
      </vt:variant>
      <vt:variant>
        <vt:i4>0</vt:i4>
      </vt:variant>
      <vt:variant>
        <vt:i4>5</vt:i4>
      </vt:variant>
      <vt:variant>
        <vt:lpwstr/>
      </vt:variant>
      <vt:variant>
        <vt:lpwstr>_Toc390856757</vt:lpwstr>
      </vt:variant>
      <vt:variant>
        <vt:i4>1376305</vt:i4>
      </vt:variant>
      <vt:variant>
        <vt:i4>185</vt:i4>
      </vt:variant>
      <vt:variant>
        <vt:i4>0</vt:i4>
      </vt:variant>
      <vt:variant>
        <vt:i4>5</vt:i4>
      </vt:variant>
      <vt:variant>
        <vt:lpwstr/>
      </vt:variant>
      <vt:variant>
        <vt:lpwstr>_Toc390856756</vt:lpwstr>
      </vt:variant>
      <vt:variant>
        <vt:i4>1376305</vt:i4>
      </vt:variant>
      <vt:variant>
        <vt:i4>179</vt:i4>
      </vt:variant>
      <vt:variant>
        <vt:i4>0</vt:i4>
      </vt:variant>
      <vt:variant>
        <vt:i4>5</vt:i4>
      </vt:variant>
      <vt:variant>
        <vt:lpwstr/>
      </vt:variant>
      <vt:variant>
        <vt:lpwstr>_Toc390856755</vt:lpwstr>
      </vt:variant>
      <vt:variant>
        <vt:i4>1376305</vt:i4>
      </vt:variant>
      <vt:variant>
        <vt:i4>173</vt:i4>
      </vt:variant>
      <vt:variant>
        <vt:i4>0</vt:i4>
      </vt:variant>
      <vt:variant>
        <vt:i4>5</vt:i4>
      </vt:variant>
      <vt:variant>
        <vt:lpwstr/>
      </vt:variant>
      <vt:variant>
        <vt:lpwstr>_Toc390856754</vt:lpwstr>
      </vt:variant>
      <vt:variant>
        <vt:i4>1376305</vt:i4>
      </vt:variant>
      <vt:variant>
        <vt:i4>167</vt:i4>
      </vt:variant>
      <vt:variant>
        <vt:i4>0</vt:i4>
      </vt:variant>
      <vt:variant>
        <vt:i4>5</vt:i4>
      </vt:variant>
      <vt:variant>
        <vt:lpwstr/>
      </vt:variant>
      <vt:variant>
        <vt:lpwstr>_Toc390856753</vt:lpwstr>
      </vt:variant>
      <vt:variant>
        <vt:i4>1376305</vt:i4>
      </vt:variant>
      <vt:variant>
        <vt:i4>161</vt:i4>
      </vt:variant>
      <vt:variant>
        <vt:i4>0</vt:i4>
      </vt:variant>
      <vt:variant>
        <vt:i4>5</vt:i4>
      </vt:variant>
      <vt:variant>
        <vt:lpwstr/>
      </vt:variant>
      <vt:variant>
        <vt:lpwstr>_Toc390856752</vt:lpwstr>
      </vt:variant>
      <vt:variant>
        <vt:i4>1376305</vt:i4>
      </vt:variant>
      <vt:variant>
        <vt:i4>155</vt:i4>
      </vt:variant>
      <vt:variant>
        <vt:i4>0</vt:i4>
      </vt:variant>
      <vt:variant>
        <vt:i4>5</vt:i4>
      </vt:variant>
      <vt:variant>
        <vt:lpwstr/>
      </vt:variant>
      <vt:variant>
        <vt:lpwstr>_Toc390856751</vt:lpwstr>
      </vt:variant>
      <vt:variant>
        <vt:i4>1376305</vt:i4>
      </vt:variant>
      <vt:variant>
        <vt:i4>149</vt:i4>
      </vt:variant>
      <vt:variant>
        <vt:i4>0</vt:i4>
      </vt:variant>
      <vt:variant>
        <vt:i4>5</vt:i4>
      </vt:variant>
      <vt:variant>
        <vt:lpwstr/>
      </vt:variant>
      <vt:variant>
        <vt:lpwstr>_Toc390856750</vt:lpwstr>
      </vt:variant>
      <vt:variant>
        <vt:i4>1310769</vt:i4>
      </vt:variant>
      <vt:variant>
        <vt:i4>143</vt:i4>
      </vt:variant>
      <vt:variant>
        <vt:i4>0</vt:i4>
      </vt:variant>
      <vt:variant>
        <vt:i4>5</vt:i4>
      </vt:variant>
      <vt:variant>
        <vt:lpwstr/>
      </vt:variant>
      <vt:variant>
        <vt:lpwstr>_Toc390856749</vt:lpwstr>
      </vt:variant>
      <vt:variant>
        <vt:i4>1310769</vt:i4>
      </vt:variant>
      <vt:variant>
        <vt:i4>137</vt:i4>
      </vt:variant>
      <vt:variant>
        <vt:i4>0</vt:i4>
      </vt:variant>
      <vt:variant>
        <vt:i4>5</vt:i4>
      </vt:variant>
      <vt:variant>
        <vt:lpwstr/>
      </vt:variant>
      <vt:variant>
        <vt:lpwstr>_Toc390856748</vt:lpwstr>
      </vt:variant>
      <vt:variant>
        <vt:i4>1310769</vt:i4>
      </vt:variant>
      <vt:variant>
        <vt:i4>131</vt:i4>
      </vt:variant>
      <vt:variant>
        <vt:i4>0</vt:i4>
      </vt:variant>
      <vt:variant>
        <vt:i4>5</vt:i4>
      </vt:variant>
      <vt:variant>
        <vt:lpwstr/>
      </vt:variant>
      <vt:variant>
        <vt:lpwstr>_Toc390856747</vt:lpwstr>
      </vt:variant>
      <vt:variant>
        <vt:i4>1310769</vt:i4>
      </vt:variant>
      <vt:variant>
        <vt:i4>125</vt:i4>
      </vt:variant>
      <vt:variant>
        <vt:i4>0</vt:i4>
      </vt:variant>
      <vt:variant>
        <vt:i4>5</vt:i4>
      </vt:variant>
      <vt:variant>
        <vt:lpwstr/>
      </vt:variant>
      <vt:variant>
        <vt:lpwstr>_Toc390856746</vt:lpwstr>
      </vt:variant>
      <vt:variant>
        <vt:i4>1310769</vt:i4>
      </vt:variant>
      <vt:variant>
        <vt:i4>119</vt:i4>
      </vt:variant>
      <vt:variant>
        <vt:i4>0</vt:i4>
      </vt:variant>
      <vt:variant>
        <vt:i4>5</vt:i4>
      </vt:variant>
      <vt:variant>
        <vt:lpwstr/>
      </vt:variant>
      <vt:variant>
        <vt:lpwstr>_Toc390856745</vt:lpwstr>
      </vt:variant>
      <vt:variant>
        <vt:i4>1310769</vt:i4>
      </vt:variant>
      <vt:variant>
        <vt:i4>113</vt:i4>
      </vt:variant>
      <vt:variant>
        <vt:i4>0</vt:i4>
      </vt:variant>
      <vt:variant>
        <vt:i4>5</vt:i4>
      </vt:variant>
      <vt:variant>
        <vt:lpwstr/>
      </vt:variant>
      <vt:variant>
        <vt:lpwstr>_Toc390856744</vt:lpwstr>
      </vt:variant>
      <vt:variant>
        <vt:i4>1310769</vt:i4>
      </vt:variant>
      <vt:variant>
        <vt:i4>107</vt:i4>
      </vt:variant>
      <vt:variant>
        <vt:i4>0</vt:i4>
      </vt:variant>
      <vt:variant>
        <vt:i4>5</vt:i4>
      </vt:variant>
      <vt:variant>
        <vt:lpwstr/>
      </vt:variant>
      <vt:variant>
        <vt:lpwstr>_Toc390856743</vt:lpwstr>
      </vt:variant>
      <vt:variant>
        <vt:i4>1310769</vt:i4>
      </vt:variant>
      <vt:variant>
        <vt:i4>101</vt:i4>
      </vt:variant>
      <vt:variant>
        <vt:i4>0</vt:i4>
      </vt:variant>
      <vt:variant>
        <vt:i4>5</vt:i4>
      </vt:variant>
      <vt:variant>
        <vt:lpwstr/>
      </vt:variant>
      <vt:variant>
        <vt:lpwstr>_Toc390856742</vt:lpwstr>
      </vt:variant>
      <vt:variant>
        <vt:i4>1310769</vt:i4>
      </vt:variant>
      <vt:variant>
        <vt:i4>95</vt:i4>
      </vt:variant>
      <vt:variant>
        <vt:i4>0</vt:i4>
      </vt:variant>
      <vt:variant>
        <vt:i4>5</vt:i4>
      </vt:variant>
      <vt:variant>
        <vt:lpwstr/>
      </vt:variant>
      <vt:variant>
        <vt:lpwstr>_Toc390856741</vt:lpwstr>
      </vt:variant>
      <vt:variant>
        <vt:i4>1310769</vt:i4>
      </vt:variant>
      <vt:variant>
        <vt:i4>89</vt:i4>
      </vt:variant>
      <vt:variant>
        <vt:i4>0</vt:i4>
      </vt:variant>
      <vt:variant>
        <vt:i4>5</vt:i4>
      </vt:variant>
      <vt:variant>
        <vt:lpwstr/>
      </vt:variant>
      <vt:variant>
        <vt:lpwstr>_Toc390856740</vt:lpwstr>
      </vt:variant>
      <vt:variant>
        <vt:i4>1245233</vt:i4>
      </vt:variant>
      <vt:variant>
        <vt:i4>83</vt:i4>
      </vt:variant>
      <vt:variant>
        <vt:i4>0</vt:i4>
      </vt:variant>
      <vt:variant>
        <vt:i4>5</vt:i4>
      </vt:variant>
      <vt:variant>
        <vt:lpwstr/>
      </vt:variant>
      <vt:variant>
        <vt:lpwstr>_Toc390856739</vt:lpwstr>
      </vt:variant>
      <vt:variant>
        <vt:i4>1245233</vt:i4>
      </vt:variant>
      <vt:variant>
        <vt:i4>77</vt:i4>
      </vt:variant>
      <vt:variant>
        <vt:i4>0</vt:i4>
      </vt:variant>
      <vt:variant>
        <vt:i4>5</vt:i4>
      </vt:variant>
      <vt:variant>
        <vt:lpwstr/>
      </vt:variant>
      <vt:variant>
        <vt:lpwstr>_Toc390856738</vt:lpwstr>
      </vt:variant>
      <vt:variant>
        <vt:i4>1245233</vt:i4>
      </vt:variant>
      <vt:variant>
        <vt:i4>71</vt:i4>
      </vt:variant>
      <vt:variant>
        <vt:i4>0</vt:i4>
      </vt:variant>
      <vt:variant>
        <vt:i4>5</vt:i4>
      </vt:variant>
      <vt:variant>
        <vt:lpwstr/>
      </vt:variant>
      <vt:variant>
        <vt:lpwstr>_Toc390856737</vt:lpwstr>
      </vt:variant>
      <vt:variant>
        <vt:i4>7274601</vt:i4>
      </vt:variant>
      <vt:variant>
        <vt:i4>66</vt:i4>
      </vt:variant>
      <vt:variant>
        <vt:i4>0</vt:i4>
      </vt:variant>
      <vt:variant>
        <vt:i4>5</vt:i4>
      </vt:variant>
      <vt:variant>
        <vt:lpwstr>http://www.melafrit.com/education/CNAM/NFE109/</vt:lpwstr>
      </vt:variant>
      <vt:variant>
        <vt:lpwstr/>
      </vt:variant>
      <vt:variant>
        <vt:i4>7274601</vt:i4>
      </vt:variant>
      <vt:variant>
        <vt:i4>12</vt:i4>
      </vt:variant>
      <vt:variant>
        <vt:i4>0</vt:i4>
      </vt:variant>
      <vt:variant>
        <vt:i4>5</vt:i4>
      </vt:variant>
      <vt:variant>
        <vt:lpwstr>http://www.melafrit.com/education/CNAM/NFE109/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EPT204 : Analyse du secteur conseil en systèmes et logiciels informatiques (6202A) en France</dc:title>
  <dc:creator>Mohamed Amine EL AFRIT</dc:creator>
  <cp:lastModifiedBy>Mohamed Amine EL AFRIT</cp:lastModifiedBy>
  <cp:revision>4</cp:revision>
  <cp:lastPrinted>2017-03-17T20:39:00Z</cp:lastPrinted>
  <dcterms:created xsi:type="dcterms:W3CDTF">2016-07-07T18:49:00Z</dcterms:created>
  <dcterms:modified xsi:type="dcterms:W3CDTF">2017-03-17T21:01:00Z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Fiche 4 </vt:lpwstr>
  </property>
  <property fmtid="{D5CDD505-2E9C-101B-9397-08002B2CF9AE}" pid="3" name="Titre">
    <vt:lpwstr>Analyse du secteur conseil en systèmes et logiciels informatiques (6202A)</vt:lpwstr>
  </property>
  <property fmtid="{D5CDD505-2E9C-101B-9397-08002B2CF9AE}" pid="4" name="Projet">
    <vt:lpwstr>Etude complète</vt:lpwstr>
  </property>
  <property fmtid="{D5CDD505-2E9C-101B-9397-08002B2CF9AE}" pid="5" name="DateCreation">
    <vt:filetime>2016-06-22T22:00:00Z</vt:filetime>
  </property>
  <property fmtid="{D5CDD505-2E9C-101B-9397-08002B2CF9AE}" pid="6" name="Department">
    <vt:lpwstr>EFAB</vt:lpwstr>
  </property>
  <property fmtid="{D5CDD505-2E9C-101B-9397-08002B2CF9AE}" pid="7" name="Client">
    <vt:lpwstr>CNAM et Université Paris Diderot</vt:lpwstr>
  </property>
  <property fmtid="{D5CDD505-2E9C-101B-9397-08002B2CF9AE}" pid="8" name="Destination">
    <vt:lpwstr>EPT204</vt:lpwstr>
  </property>
</Properties>
</file>