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40B" w:rsidRDefault="0094740B" w:rsidP="00AF22F5">
      <w:pPr>
        <w:rPr>
          <w:rFonts w:eastAsiaTheme="majorEastAsia"/>
          <w:lang w:eastAsia="en-US"/>
        </w:rPr>
      </w:pPr>
    </w:p>
    <w:p w:rsidR="0071464C" w:rsidRDefault="0071464C" w:rsidP="00AF22F5">
      <w:pPr>
        <w:rPr>
          <w:lang w:eastAsia="en-US"/>
        </w:rPr>
      </w:pPr>
    </w:p>
    <w:p w:rsidR="00FB5BAE" w:rsidRDefault="00FB5BAE" w:rsidP="00AF22F5">
      <w:pPr>
        <w:rPr>
          <w:lang w:eastAsia="en-US"/>
        </w:rPr>
      </w:pPr>
    </w:p>
    <w:p w:rsidR="00987FF5" w:rsidRDefault="00987FF5" w:rsidP="00AF22F5">
      <w:pPr>
        <w:rPr>
          <w:lang w:eastAsia="en-US"/>
        </w:rPr>
      </w:pPr>
    </w:p>
    <w:sdt>
      <w:sdtPr>
        <w:alias w:val="Title"/>
        <w:tag w:val=""/>
        <w:id w:val="1286467738"/>
        <w:placeholder>
          <w:docPart w:val="EBC7EF5F198C4527A786A4EB6A2AAB3F"/>
        </w:placeholder>
        <w:dataBinding w:prefixMappings="xmlns:ns0='http://purl.org/dc/elements/1.1/' xmlns:ns1='http://schemas.openxmlformats.org/package/2006/metadata/core-properties' " w:xpath="/ns1:coreProperties[1]/ns0:title[1]" w:storeItemID="{6C3C8BC8-F283-45AE-878A-BAB7291924A1}"/>
        <w:text/>
      </w:sdtPr>
      <w:sdtEndPr/>
      <w:sdtContent>
        <w:p w:rsidR="00FB5BAE" w:rsidRDefault="00F10D61" w:rsidP="00B468AB">
          <w:pPr>
            <w:pStyle w:val="Entte1"/>
          </w:pPr>
          <w:r>
            <w:t>EPT204 : Analyse du secteur conseil en systèmes et logiciels informatiques (6202A) en France</w:t>
          </w:r>
        </w:p>
      </w:sdtContent>
    </w:sdt>
    <w:p w:rsidR="0071464C" w:rsidRDefault="0071464C" w:rsidP="00AF22F5">
      <w:pPr>
        <w:rPr>
          <w:lang w:eastAsia="en-US"/>
        </w:rPr>
      </w:pPr>
    </w:p>
    <w:p w:rsidR="004A307F" w:rsidRDefault="003A69E0" w:rsidP="00B468AB">
      <w:pPr>
        <w:pStyle w:val="Entte1"/>
      </w:pPr>
      <w:r>
        <w:rPr>
          <w:noProof/>
          <w:lang w:eastAsia="fr-FR"/>
        </w:rPr>
        <w:pict>
          <v:rect id="Rectangle 4" o:spid="_x0000_s1026" style="position:absolute;left:0;text-align:left;margin-left:-63pt;margin-top:-52pt;width:1in;height:8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" stroked="f">
            <v:fill color2="#fc0" rotate="t" focus="100%" type="gradient"/>
          </v:rect>
        </w:pict>
      </w:r>
      <w:r>
        <w:fldChar w:fldCharType="begin"/>
      </w:r>
      <w:r>
        <w:instrText xml:space="preserve"> DOCPROPERTY  "Type de Document"  \* MERGEFORMAT </w:instrText>
      </w:r>
      <w:r>
        <w:fldChar w:fldCharType="separate"/>
      </w:r>
      <w:r w:rsidR="00501BB7">
        <w:t xml:space="preserve">Fiche 2 </w:t>
      </w:r>
      <w:r>
        <w:fldChar w:fldCharType="end"/>
      </w:r>
    </w:p>
    <w:p w:rsidR="00FD136A" w:rsidRPr="004A307F" w:rsidRDefault="00410F91" w:rsidP="00B468AB">
      <w:pPr>
        <w:pStyle w:val="Entte1"/>
      </w:pPr>
      <w:fldSimple w:instr=" DOCPROPERTY  Projet  \* MERGEFORMAT ">
        <w:r w:rsidR="00501BB7">
          <w:t xml:space="preserve">Analyse de la structure </w:t>
        </w:r>
      </w:fldSimple>
    </w:p>
    <w:p w:rsidR="000324E5" w:rsidRPr="004D5BCB" w:rsidRDefault="000324E5" w:rsidP="00AF22F5"/>
    <w:p w:rsidR="00A04D49" w:rsidRPr="00CF1510" w:rsidRDefault="000324E5" w:rsidP="00993CAE">
      <w:pPr>
        <w:pStyle w:val="Heading9"/>
        <w:jc w:val="center"/>
      </w:pPr>
      <w:r w:rsidRPr="00934295">
        <w:t xml:space="preserve">Réalisé par : </w:t>
      </w:r>
      <w:r w:rsidR="003A69E0">
        <w:fldChar w:fldCharType="begin"/>
      </w:r>
      <w:r w:rsidR="003A69E0">
        <w:instrText xml:space="preserve"> AUTHOR   \* MERGEFORMAT </w:instrText>
      </w:r>
      <w:r w:rsidR="003A69E0">
        <w:fldChar w:fldCharType="separate"/>
      </w:r>
      <w:r w:rsidR="00501BB7">
        <w:rPr>
          <w:noProof/>
        </w:rPr>
        <w:t>Mohamed Amine EL AFRIT</w:t>
      </w:r>
      <w:r w:rsidR="003A69E0">
        <w:rPr>
          <w:noProof/>
        </w:rPr>
        <w:fldChar w:fldCharType="end"/>
      </w:r>
      <w:r w:rsidR="00A04D49" w:rsidRPr="00CF1510">
        <w:t xml:space="preserve"> </w:t>
      </w:r>
    </w:p>
    <w:p w:rsidR="00CF1510" w:rsidRDefault="00CF1510" w:rsidP="001967D1">
      <w:pPr>
        <w:pStyle w:val="Heading9"/>
        <w:jc w:val="center"/>
      </w:pPr>
    </w:p>
    <w:p w:rsidR="001967D1" w:rsidRPr="00CF1510" w:rsidRDefault="001967D1" w:rsidP="001967D1">
      <w:pPr>
        <w:pStyle w:val="Heading9"/>
        <w:jc w:val="center"/>
      </w:pPr>
      <w:r>
        <w:t>Encadré</w:t>
      </w:r>
      <w:r w:rsidRPr="00934295">
        <w:t xml:space="preserve"> par : </w:t>
      </w:r>
      <w:r w:rsidR="00CF1510">
        <w:t xml:space="preserve">Professeur Philippe MOATI </w:t>
      </w:r>
    </w:p>
    <w:p w:rsidR="00A04D49" w:rsidRPr="001967D1" w:rsidRDefault="00A04D49" w:rsidP="00A04D49"/>
    <w:p w:rsidR="005961A5" w:rsidRPr="00CF1510" w:rsidRDefault="003A69E0" w:rsidP="00B468AB">
      <w:pPr>
        <w:jc w:val="center"/>
      </w:pPr>
      <w:hyperlink r:id="rId9" w:history="1">
        <w:r w:rsidR="00A04D49" w:rsidRPr="00CF1510">
          <w:rPr>
            <w:rStyle w:val="Hyperlink"/>
          </w:rPr>
          <w:t>www.mohamedelafrit.com/ept204</w:t>
        </w:r>
      </w:hyperlink>
    </w:p>
    <w:p w:rsidR="003A6D72" w:rsidRPr="00063FDA" w:rsidRDefault="00A04D49" w:rsidP="009E0D56">
      <w:pPr>
        <w:jc w:val="center"/>
      </w:pPr>
      <w:r w:rsidRPr="00063FDA">
        <w:t>Mars</w:t>
      </w:r>
      <w:r w:rsidR="00B468AB" w:rsidRPr="00063FDA">
        <w:t xml:space="preserve"> 201</w:t>
      </w:r>
      <w:r w:rsidRPr="00063FDA">
        <w:t>6</w:t>
      </w:r>
    </w:p>
    <w:p w:rsidR="00F17615" w:rsidRPr="00063FDA" w:rsidRDefault="00F17615" w:rsidP="009E0D56">
      <w:pPr>
        <w:jc w:val="center"/>
      </w:pPr>
    </w:p>
    <w:p w:rsidR="00063FDA" w:rsidRPr="00F21015" w:rsidRDefault="00063FDA" w:rsidP="00063FDA">
      <w:pPr>
        <w:pStyle w:val="Titre1Bis"/>
      </w:pPr>
      <w:bookmarkStart w:id="0" w:name="_Toc446904675"/>
      <w:r>
        <w:lastRenderedPageBreak/>
        <w:t>Références</w:t>
      </w:r>
      <w:bookmarkEnd w:id="0"/>
    </w:p>
    <w:p w:rsidR="00E537EF" w:rsidRPr="00F21015" w:rsidRDefault="00E537EF" w:rsidP="00063FDA">
      <w:pPr>
        <w:pStyle w:val="Heading2"/>
        <w:numPr>
          <w:ilvl w:val="0"/>
          <w:numId w:val="0"/>
        </w:numPr>
        <w:ind w:left="578"/>
      </w:pPr>
      <w:bookmarkStart w:id="1" w:name="_Toc446904676"/>
      <w:r w:rsidRPr="00F21015">
        <w:t>Objet</w:t>
      </w:r>
      <w:r>
        <w:t xml:space="preserve"> du document</w:t>
      </w:r>
      <w:bookmarkEnd w:id="1"/>
      <w:r>
        <w:t xml:space="preserve"> </w:t>
      </w:r>
    </w:p>
    <w:p w:rsidR="00E537EF" w:rsidRDefault="00E537EF" w:rsidP="00F17615">
      <w:r w:rsidRPr="00F21015">
        <w:t>L</w:t>
      </w:r>
      <w:r>
        <w:t>'objectif de c</w:t>
      </w:r>
      <w:r w:rsidRPr="00F21015">
        <w:t>e</w:t>
      </w:r>
      <w:r w:rsidR="00F17615">
        <w:t xml:space="preserve">tte fiche est d’analyser la structure du secteur du conseil en systèmes et logiciels informatiques en France (Code NAF 6202A). </w:t>
      </w:r>
    </w:p>
    <w:p w:rsidR="00E537EF" w:rsidRDefault="00E537EF" w:rsidP="00AF22F5"/>
    <w:p w:rsidR="00E537EF" w:rsidRDefault="007E2E68" w:rsidP="00063FDA">
      <w:pPr>
        <w:pStyle w:val="Heading2"/>
        <w:numPr>
          <w:ilvl w:val="0"/>
          <w:numId w:val="0"/>
        </w:numPr>
        <w:ind w:left="578"/>
      </w:pPr>
      <w:bookmarkStart w:id="2" w:name="_Toc446904677"/>
      <w:r>
        <w:t xml:space="preserve">Donnée </w:t>
      </w:r>
      <w:r w:rsidR="00253E71">
        <w:t>analys</w:t>
      </w:r>
      <w:r>
        <w:t>ées</w:t>
      </w:r>
      <w:bookmarkEnd w:id="2"/>
      <w:r>
        <w:t xml:space="preserve"> </w:t>
      </w:r>
    </w:p>
    <w:p w:rsidR="009E6B17" w:rsidRDefault="00A04D49" w:rsidP="009B6199">
      <w:r>
        <w:t>La base de données utilisée pour réaliser cette étude est constitu</w:t>
      </w:r>
      <w:r w:rsidR="009E6B17">
        <w:t>ée à partir de plusieurs sources</w:t>
      </w:r>
      <w:r w:rsidR="007E2E68">
        <w:t xml:space="preserve"> comme </w:t>
      </w:r>
      <w:r w:rsidR="009B6199">
        <w:t xml:space="preserve">l’INSEE, </w:t>
      </w:r>
      <w:proofErr w:type="spellStart"/>
      <w:r w:rsidR="009B6199">
        <w:t>Xerfi</w:t>
      </w:r>
      <w:proofErr w:type="spellEnd"/>
      <w:r w:rsidR="009B6199">
        <w:t>, D</w:t>
      </w:r>
      <w:bookmarkStart w:id="3" w:name="_GoBack"/>
      <w:bookmarkEnd w:id="3"/>
      <w:r w:rsidR="009B6199">
        <w:t>iane, Business Source Complete</w:t>
      </w:r>
      <w:r w:rsidR="007E2E68">
        <w:t>, AP Management, les r</w:t>
      </w:r>
      <w:r w:rsidR="009E6B17">
        <w:t xml:space="preserve">apports de gestion </w:t>
      </w:r>
      <w:r w:rsidR="007E2E68">
        <w:t xml:space="preserve">de certains groupes, etc. </w:t>
      </w:r>
    </w:p>
    <w:p w:rsidR="00E77AC5" w:rsidRDefault="00AB3DC3" w:rsidP="00AF22F5">
      <w:r>
        <w:t>Cette base de donnée contient des informations de 150 colonnes sur près de 20 000 entreprises du secteur conseil en systèmes et logiciels informatiques en France. L’analyse a été réalisée avec Excel. Avec cette quantité de données nous sommes proche des limites de cet outil et il serait plus intéressant d’utiliser une vraie base de données</w:t>
      </w:r>
      <w:r w:rsidR="007E2E68">
        <w:t xml:space="preserve"> ou bien d’autres outils comme R ou SAS</w:t>
      </w:r>
      <w:r>
        <w:t xml:space="preserve"> ou bien de faire un échantillonnage</w:t>
      </w:r>
      <w:r w:rsidR="007E2E68">
        <w:t xml:space="preserve"> et continuer à travailler sous Excel</w:t>
      </w:r>
      <w:r>
        <w:t xml:space="preserve">. En effet, un échantillon de 2500 entreprises suffira pour avoir des résultats avec un niveau de confiance de 95% et une marge d’erreur de 2%. Comme nous allons le voir plus tard dans ce document, nous avons constaté que le </w:t>
      </w:r>
      <w:r w:rsidR="007E2E68">
        <w:t>4ème</w:t>
      </w:r>
      <w:r>
        <w:t xml:space="preserve"> quartile </w:t>
      </w:r>
      <w:r w:rsidR="007E2E68">
        <w:t xml:space="preserve">(c'est-à-dire près de 5 000 entreprises) </w:t>
      </w:r>
      <w:r>
        <w:t xml:space="preserve">des </w:t>
      </w:r>
      <w:r w:rsidR="007E2E68">
        <w:t xml:space="preserve">entreprises représente plus de 99% du marché. Dans les prochaines fiches on considèrera au plus ces dernières entreprises pour étudier ce secteur. </w:t>
      </w:r>
    </w:p>
    <w:p w:rsidR="00063FDA" w:rsidRDefault="00063FDA" w:rsidP="00AF22F5"/>
    <w:p w:rsidR="00063FDA" w:rsidRDefault="00063FDA" w:rsidP="00063FDA">
      <w:pPr>
        <w:pStyle w:val="Heading2"/>
        <w:numPr>
          <w:ilvl w:val="0"/>
          <w:numId w:val="0"/>
        </w:numPr>
        <w:ind w:left="578"/>
      </w:pPr>
      <w:bookmarkStart w:id="4" w:name="_Toc446904678"/>
      <w:r>
        <w:t>Méthode</w:t>
      </w:r>
      <w:bookmarkEnd w:id="4"/>
      <w:r>
        <w:t xml:space="preserve"> </w:t>
      </w:r>
    </w:p>
    <w:p w:rsidR="00063FDA" w:rsidRPr="00063FDA" w:rsidRDefault="00063FDA" w:rsidP="00063FDA">
      <w:pPr>
        <w:pStyle w:val="BodyText"/>
      </w:pPr>
      <w:r>
        <w:t xml:space="preserve">Nous appliquerons la méthode d’analyse du professeur P. MOATI dans cette étude. Le plan de cette démarche est détaillé sur le site mentionné au paragraphe suivant. On s’intéresse dans cette fiche en particulier à la partie liée à l’analyse de la structure du secteur.  </w:t>
      </w:r>
    </w:p>
    <w:p w:rsidR="009538FE" w:rsidRDefault="009538FE" w:rsidP="00063FDA">
      <w:pPr>
        <w:ind w:left="0"/>
      </w:pPr>
    </w:p>
    <w:p w:rsidR="00CA5373" w:rsidRDefault="00CA5373" w:rsidP="00063FDA">
      <w:pPr>
        <w:pStyle w:val="Heading2"/>
        <w:numPr>
          <w:ilvl w:val="0"/>
          <w:numId w:val="0"/>
        </w:numPr>
        <w:ind w:left="578"/>
      </w:pPr>
      <w:bookmarkStart w:id="5" w:name="_Toc446904679"/>
      <w:r>
        <w:t>Bibliographie</w:t>
      </w:r>
      <w:bookmarkEnd w:id="5"/>
      <w:r>
        <w:t xml:space="preserve"> </w:t>
      </w:r>
    </w:p>
    <w:p w:rsidR="00CA5373" w:rsidRDefault="007E2E68" w:rsidP="00347A3B">
      <w:r>
        <w:t>Ce document, l</w:t>
      </w:r>
      <w:r w:rsidR="00CA5373">
        <w:t>a bibliographie détaillée</w:t>
      </w:r>
      <w:r w:rsidR="00347A3B">
        <w:t xml:space="preserve"> et les données utilisées pour cette étude sont</w:t>
      </w:r>
      <w:r w:rsidR="00CA5373">
        <w:t xml:space="preserve"> à l’adresse suivante : </w:t>
      </w:r>
      <w:hyperlink r:id="rId10" w:history="1">
        <w:r w:rsidR="00CA5373" w:rsidRPr="00403F14">
          <w:rPr>
            <w:rStyle w:val="Hyperlink"/>
          </w:rPr>
          <w:t>http://www.mohamedelafrit.com/ept204</w:t>
        </w:r>
      </w:hyperlink>
      <w:r w:rsidR="00CA5373">
        <w:t xml:space="preserve"> </w:t>
      </w:r>
    </w:p>
    <w:p w:rsidR="00CA5373" w:rsidRDefault="00CA5373" w:rsidP="00AF22F5"/>
    <w:p w:rsidR="00E72D29" w:rsidRPr="00F21015" w:rsidRDefault="00EC346F" w:rsidP="00AF22F5">
      <w:pPr>
        <w:pStyle w:val="Titre1Bis"/>
      </w:pPr>
      <w:bookmarkStart w:id="6" w:name="_Toc446904680"/>
      <w:r w:rsidRPr="00F21015">
        <w:lastRenderedPageBreak/>
        <w:t>S</w:t>
      </w:r>
      <w:r w:rsidR="0075241D" w:rsidRPr="00F21015">
        <w:t>ommaire</w:t>
      </w:r>
      <w:bookmarkEnd w:id="6"/>
    </w:p>
    <w:p w:rsidR="00501BB7" w:rsidRDefault="002B6AE5">
      <w:pPr>
        <w:pStyle w:val="TOC1"/>
        <w:rPr>
          <w:rFonts w:asciiTheme="minorHAnsi" w:eastAsiaTheme="minorEastAsia" w:hAnsiTheme="minorHAnsi" w:cstheme="minorBidi"/>
          <w:noProof/>
          <w:szCs w:val="22"/>
        </w:rPr>
      </w:pPr>
      <w:r w:rsidRPr="00307FE4">
        <w:fldChar w:fldCharType="begin"/>
      </w:r>
      <w:r w:rsidR="00EC346F" w:rsidRPr="00307FE4">
        <w:instrText xml:space="preserve"> TOC \o "1-4" \h \z \u </w:instrText>
      </w:r>
      <w:r w:rsidRPr="00307FE4">
        <w:fldChar w:fldCharType="separate"/>
      </w:r>
      <w:hyperlink w:anchor="_Toc446904675" w:history="1">
        <w:r w:rsidR="00501BB7" w:rsidRPr="004819C0">
          <w:rPr>
            <w:rStyle w:val="Hyperlink"/>
            <w:noProof/>
          </w:rPr>
          <w:t>Références</w:t>
        </w:r>
        <w:r w:rsidR="00501BB7">
          <w:rPr>
            <w:noProof/>
            <w:webHidden/>
          </w:rPr>
          <w:tab/>
        </w:r>
        <w:r w:rsidR="00501BB7">
          <w:rPr>
            <w:noProof/>
            <w:webHidden/>
          </w:rPr>
          <w:fldChar w:fldCharType="begin"/>
        </w:r>
        <w:r w:rsidR="00501BB7">
          <w:rPr>
            <w:noProof/>
            <w:webHidden/>
          </w:rPr>
          <w:instrText xml:space="preserve"> PAGEREF _Toc446904675 \h </w:instrText>
        </w:r>
        <w:r w:rsidR="00501BB7">
          <w:rPr>
            <w:noProof/>
            <w:webHidden/>
          </w:rPr>
        </w:r>
        <w:r w:rsidR="00501BB7">
          <w:rPr>
            <w:noProof/>
            <w:webHidden/>
          </w:rPr>
          <w:fldChar w:fldCharType="separate"/>
        </w:r>
        <w:r w:rsidR="003F6757">
          <w:rPr>
            <w:noProof/>
            <w:webHidden/>
          </w:rPr>
          <w:t>2</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76" w:history="1">
        <w:r w:rsidR="00501BB7" w:rsidRPr="004819C0">
          <w:rPr>
            <w:rStyle w:val="Hyperlink"/>
            <w:noProof/>
          </w:rPr>
          <w:t>Objet du document</w:t>
        </w:r>
        <w:r w:rsidR="00501BB7">
          <w:rPr>
            <w:noProof/>
            <w:webHidden/>
          </w:rPr>
          <w:tab/>
        </w:r>
        <w:r w:rsidR="00501BB7">
          <w:rPr>
            <w:noProof/>
            <w:webHidden/>
          </w:rPr>
          <w:fldChar w:fldCharType="begin"/>
        </w:r>
        <w:r w:rsidR="00501BB7">
          <w:rPr>
            <w:noProof/>
            <w:webHidden/>
          </w:rPr>
          <w:instrText xml:space="preserve"> PAGEREF _Toc446904676 \h </w:instrText>
        </w:r>
        <w:r w:rsidR="00501BB7">
          <w:rPr>
            <w:noProof/>
            <w:webHidden/>
          </w:rPr>
        </w:r>
        <w:r w:rsidR="00501BB7">
          <w:rPr>
            <w:noProof/>
            <w:webHidden/>
          </w:rPr>
          <w:fldChar w:fldCharType="separate"/>
        </w:r>
        <w:r w:rsidR="003F6757">
          <w:rPr>
            <w:noProof/>
            <w:webHidden/>
          </w:rPr>
          <w:t>2</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77" w:history="1">
        <w:r w:rsidR="00501BB7" w:rsidRPr="004819C0">
          <w:rPr>
            <w:rStyle w:val="Hyperlink"/>
            <w:noProof/>
          </w:rPr>
          <w:t>Donnée analysées</w:t>
        </w:r>
        <w:r w:rsidR="00501BB7">
          <w:rPr>
            <w:noProof/>
            <w:webHidden/>
          </w:rPr>
          <w:tab/>
        </w:r>
        <w:r w:rsidR="00501BB7">
          <w:rPr>
            <w:noProof/>
            <w:webHidden/>
          </w:rPr>
          <w:fldChar w:fldCharType="begin"/>
        </w:r>
        <w:r w:rsidR="00501BB7">
          <w:rPr>
            <w:noProof/>
            <w:webHidden/>
          </w:rPr>
          <w:instrText xml:space="preserve"> PAGEREF _Toc446904677 \h </w:instrText>
        </w:r>
        <w:r w:rsidR="00501BB7">
          <w:rPr>
            <w:noProof/>
            <w:webHidden/>
          </w:rPr>
        </w:r>
        <w:r w:rsidR="00501BB7">
          <w:rPr>
            <w:noProof/>
            <w:webHidden/>
          </w:rPr>
          <w:fldChar w:fldCharType="separate"/>
        </w:r>
        <w:r w:rsidR="003F6757">
          <w:rPr>
            <w:noProof/>
            <w:webHidden/>
          </w:rPr>
          <w:t>2</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78" w:history="1">
        <w:r w:rsidR="00501BB7" w:rsidRPr="004819C0">
          <w:rPr>
            <w:rStyle w:val="Hyperlink"/>
            <w:noProof/>
          </w:rPr>
          <w:t>Méthode</w:t>
        </w:r>
        <w:r w:rsidR="00501BB7">
          <w:rPr>
            <w:noProof/>
            <w:webHidden/>
          </w:rPr>
          <w:tab/>
        </w:r>
        <w:r w:rsidR="00501BB7">
          <w:rPr>
            <w:noProof/>
            <w:webHidden/>
          </w:rPr>
          <w:fldChar w:fldCharType="begin"/>
        </w:r>
        <w:r w:rsidR="00501BB7">
          <w:rPr>
            <w:noProof/>
            <w:webHidden/>
          </w:rPr>
          <w:instrText xml:space="preserve"> PAGEREF _Toc446904678 \h </w:instrText>
        </w:r>
        <w:r w:rsidR="00501BB7">
          <w:rPr>
            <w:noProof/>
            <w:webHidden/>
          </w:rPr>
        </w:r>
        <w:r w:rsidR="00501BB7">
          <w:rPr>
            <w:noProof/>
            <w:webHidden/>
          </w:rPr>
          <w:fldChar w:fldCharType="separate"/>
        </w:r>
        <w:r w:rsidR="003F6757">
          <w:rPr>
            <w:noProof/>
            <w:webHidden/>
          </w:rPr>
          <w:t>2</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79" w:history="1">
        <w:r w:rsidR="00501BB7" w:rsidRPr="004819C0">
          <w:rPr>
            <w:rStyle w:val="Hyperlink"/>
            <w:noProof/>
          </w:rPr>
          <w:t>Bibliographie</w:t>
        </w:r>
        <w:r w:rsidR="00501BB7">
          <w:rPr>
            <w:noProof/>
            <w:webHidden/>
          </w:rPr>
          <w:tab/>
        </w:r>
        <w:r w:rsidR="00501BB7">
          <w:rPr>
            <w:noProof/>
            <w:webHidden/>
          </w:rPr>
          <w:fldChar w:fldCharType="begin"/>
        </w:r>
        <w:r w:rsidR="00501BB7">
          <w:rPr>
            <w:noProof/>
            <w:webHidden/>
          </w:rPr>
          <w:instrText xml:space="preserve"> PAGEREF _Toc446904679 \h </w:instrText>
        </w:r>
        <w:r w:rsidR="00501BB7">
          <w:rPr>
            <w:noProof/>
            <w:webHidden/>
          </w:rPr>
        </w:r>
        <w:r w:rsidR="00501BB7">
          <w:rPr>
            <w:noProof/>
            <w:webHidden/>
          </w:rPr>
          <w:fldChar w:fldCharType="separate"/>
        </w:r>
        <w:r w:rsidR="003F6757">
          <w:rPr>
            <w:noProof/>
            <w:webHidden/>
          </w:rPr>
          <w:t>2</w:t>
        </w:r>
        <w:r w:rsidR="00501BB7">
          <w:rPr>
            <w:noProof/>
            <w:webHidden/>
          </w:rPr>
          <w:fldChar w:fldCharType="end"/>
        </w:r>
      </w:hyperlink>
    </w:p>
    <w:p w:rsidR="00501BB7" w:rsidRDefault="003A69E0">
      <w:pPr>
        <w:pStyle w:val="TOC1"/>
        <w:rPr>
          <w:rFonts w:asciiTheme="minorHAnsi" w:eastAsiaTheme="minorEastAsia" w:hAnsiTheme="minorHAnsi" w:cstheme="minorBidi"/>
          <w:noProof/>
          <w:szCs w:val="22"/>
        </w:rPr>
      </w:pPr>
      <w:hyperlink w:anchor="_Toc446904680" w:history="1">
        <w:r w:rsidR="00501BB7" w:rsidRPr="004819C0">
          <w:rPr>
            <w:rStyle w:val="Hyperlink"/>
            <w:noProof/>
          </w:rPr>
          <w:t>Sommaire</w:t>
        </w:r>
        <w:r w:rsidR="00501BB7">
          <w:rPr>
            <w:noProof/>
            <w:webHidden/>
          </w:rPr>
          <w:tab/>
        </w:r>
        <w:r w:rsidR="00501BB7">
          <w:rPr>
            <w:noProof/>
            <w:webHidden/>
          </w:rPr>
          <w:fldChar w:fldCharType="begin"/>
        </w:r>
        <w:r w:rsidR="00501BB7">
          <w:rPr>
            <w:noProof/>
            <w:webHidden/>
          </w:rPr>
          <w:instrText xml:space="preserve"> PAGEREF _Toc446904680 \h </w:instrText>
        </w:r>
        <w:r w:rsidR="00501BB7">
          <w:rPr>
            <w:noProof/>
            <w:webHidden/>
          </w:rPr>
        </w:r>
        <w:r w:rsidR="00501BB7">
          <w:rPr>
            <w:noProof/>
            <w:webHidden/>
          </w:rPr>
          <w:fldChar w:fldCharType="separate"/>
        </w:r>
        <w:r w:rsidR="003F6757">
          <w:rPr>
            <w:noProof/>
            <w:webHidden/>
          </w:rPr>
          <w:t>3</w:t>
        </w:r>
        <w:r w:rsidR="00501BB7">
          <w:rPr>
            <w:noProof/>
            <w:webHidden/>
          </w:rPr>
          <w:fldChar w:fldCharType="end"/>
        </w:r>
      </w:hyperlink>
    </w:p>
    <w:p w:rsidR="00501BB7" w:rsidRDefault="003A69E0">
      <w:pPr>
        <w:pStyle w:val="TOC1"/>
        <w:rPr>
          <w:rFonts w:asciiTheme="minorHAnsi" w:eastAsiaTheme="minorEastAsia" w:hAnsiTheme="minorHAnsi" w:cstheme="minorBidi"/>
          <w:noProof/>
          <w:szCs w:val="22"/>
        </w:rPr>
      </w:pPr>
      <w:hyperlink w:anchor="_Toc446904681" w:history="1">
        <w:r w:rsidR="00501BB7" w:rsidRPr="004819C0">
          <w:rPr>
            <w:rStyle w:val="Hyperlink"/>
            <w:noProof/>
          </w:rPr>
          <w:t>1</w:t>
        </w:r>
        <w:r w:rsidR="00501BB7">
          <w:rPr>
            <w:rFonts w:asciiTheme="minorHAnsi" w:eastAsiaTheme="minorEastAsia" w:hAnsiTheme="minorHAnsi" w:cstheme="minorBidi"/>
            <w:noProof/>
            <w:szCs w:val="22"/>
          </w:rPr>
          <w:tab/>
        </w:r>
        <w:r w:rsidR="00501BB7" w:rsidRPr="004819C0">
          <w:rPr>
            <w:rStyle w:val="Hyperlink"/>
            <w:noProof/>
          </w:rPr>
          <w:t>Executive Summary</w:t>
        </w:r>
        <w:r w:rsidR="00501BB7">
          <w:rPr>
            <w:noProof/>
            <w:webHidden/>
          </w:rPr>
          <w:tab/>
        </w:r>
        <w:r w:rsidR="00501BB7">
          <w:rPr>
            <w:noProof/>
            <w:webHidden/>
          </w:rPr>
          <w:fldChar w:fldCharType="begin"/>
        </w:r>
        <w:r w:rsidR="00501BB7">
          <w:rPr>
            <w:noProof/>
            <w:webHidden/>
          </w:rPr>
          <w:instrText xml:space="preserve"> PAGEREF _Toc446904681 \h </w:instrText>
        </w:r>
        <w:r w:rsidR="00501BB7">
          <w:rPr>
            <w:noProof/>
            <w:webHidden/>
          </w:rPr>
        </w:r>
        <w:r w:rsidR="00501BB7">
          <w:rPr>
            <w:noProof/>
            <w:webHidden/>
          </w:rPr>
          <w:fldChar w:fldCharType="separate"/>
        </w:r>
        <w:r w:rsidR="003F6757">
          <w:rPr>
            <w:noProof/>
            <w:webHidden/>
          </w:rPr>
          <w:t>4</w:t>
        </w:r>
        <w:r w:rsidR="00501BB7">
          <w:rPr>
            <w:noProof/>
            <w:webHidden/>
          </w:rPr>
          <w:fldChar w:fldCharType="end"/>
        </w:r>
      </w:hyperlink>
    </w:p>
    <w:p w:rsidR="00501BB7" w:rsidRDefault="003A69E0">
      <w:pPr>
        <w:pStyle w:val="TOC1"/>
        <w:rPr>
          <w:rFonts w:asciiTheme="minorHAnsi" w:eastAsiaTheme="minorEastAsia" w:hAnsiTheme="minorHAnsi" w:cstheme="minorBidi"/>
          <w:noProof/>
          <w:szCs w:val="22"/>
        </w:rPr>
      </w:pPr>
      <w:hyperlink w:anchor="_Toc446904682" w:history="1">
        <w:r w:rsidR="00501BB7" w:rsidRPr="004819C0">
          <w:rPr>
            <w:rStyle w:val="Hyperlink"/>
            <w:noProof/>
          </w:rPr>
          <w:t>2</w:t>
        </w:r>
        <w:r w:rsidR="00501BB7">
          <w:rPr>
            <w:rFonts w:asciiTheme="minorHAnsi" w:eastAsiaTheme="minorEastAsia" w:hAnsiTheme="minorHAnsi" w:cstheme="minorBidi"/>
            <w:noProof/>
            <w:szCs w:val="22"/>
          </w:rPr>
          <w:tab/>
        </w:r>
        <w:r w:rsidR="00501BB7" w:rsidRPr="004819C0">
          <w:rPr>
            <w:rStyle w:val="Hyperlink"/>
            <w:noProof/>
          </w:rPr>
          <w:t>Caractérisation des entreprises</w:t>
        </w:r>
        <w:r w:rsidR="00501BB7">
          <w:rPr>
            <w:noProof/>
            <w:webHidden/>
          </w:rPr>
          <w:tab/>
        </w:r>
        <w:r w:rsidR="00501BB7">
          <w:rPr>
            <w:noProof/>
            <w:webHidden/>
          </w:rPr>
          <w:fldChar w:fldCharType="begin"/>
        </w:r>
        <w:r w:rsidR="00501BB7">
          <w:rPr>
            <w:noProof/>
            <w:webHidden/>
          </w:rPr>
          <w:instrText xml:space="preserve"> PAGEREF _Toc446904682 \h </w:instrText>
        </w:r>
        <w:r w:rsidR="00501BB7">
          <w:rPr>
            <w:noProof/>
            <w:webHidden/>
          </w:rPr>
        </w:r>
        <w:r w:rsidR="00501BB7">
          <w:rPr>
            <w:noProof/>
            <w:webHidden/>
          </w:rPr>
          <w:fldChar w:fldCharType="separate"/>
        </w:r>
        <w:r w:rsidR="003F6757">
          <w:rPr>
            <w:noProof/>
            <w:webHidden/>
          </w:rPr>
          <w:t>5</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83" w:history="1">
        <w:r w:rsidR="00501BB7" w:rsidRPr="004819C0">
          <w:rPr>
            <w:rStyle w:val="Hyperlink"/>
            <w:noProof/>
          </w:rPr>
          <w:t>2.1</w:t>
        </w:r>
        <w:r w:rsidR="00501BB7">
          <w:rPr>
            <w:rFonts w:asciiTheme="minorHAnsi" w:eastAsiaTheme="minorEastAsia" w:hAnsiTheme="minorHAnsi" w:cstheme="minorBidi"/>
            <w:noProof/>
            <w:szCs w:val="22"/>
          </w:rPr>
          <w:tab/>
        </w:r>
        <w:r w:rsidR="00501BB7" w:rsidRPr="004819C0">
          <w:rPr>
            <w:rStyle w:val="Hyperlink"/>
            <w:noProof/>
          </w:rPr>
          <w:t>Taille des entreprises</w:t>
        </w:r>
        <w:r w:rsidR="00501BB7">
          <w:rPr>
            <w:noProof/>
            <w:webHidden/>
          </w:rPr>
          <w:tab/>
        </w:r>
        <w:r w:rsidR="00501BB7">
          <w:rPr>
            <w:noProof/>
            <w:webHidden/>
          </w:rPr>
          <w:fldChar w:fldCharType="begin"/>
        </w:r>
        <w:r w:rsidR="00501BB7">
          <w:rPr>
            <w:noProof/>
            <w:webHidden/>
          </w:rPr>
          <w:instrText xml:space="preserve"> PAGEREF _Toc446904683 \h </w:instrText>
        </w:r>
        <w:r w:rsidR="00501BB7">
          <w:rPr>
            <w:noProof/>
            <w:webHidden/>
          </w:rPr>
        </w:r>
        <w:r w:rsidR="00501BB7">
          <w:rPr>
            <w:noProof/>
            <w:webHidden/>
          </w:rPr>
          <w:fldChar w:fldCharType="separate"/>
        </w:r>
        <w:r w:rsidR="003F6757">
          <w:rPr>
            <w:noProof/>
            <w:webHidden/>
          </w:rPr>
          <w:t>5</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84" w:history="1">
        <w:r w:rsidR="00501BB7" w:rsidRPr="004819C0">
          <w:rPr>
            <w:rStyle w:val="Hyperlink"/>
            <w:noProof/>
          </w:rPr>
          <w:t>2.2</w:t>
        </w:r>
        <w:r w:rsidR="00501BB7">
          <w:rPr>
            <w:rFonts w:asciiTheme="minorHAnsi" w:eastAsiaTheme="minorEastAsia" w:hAnsiTheme="minorHAnsi" w:cstheme="minorBidi"/>
            <w:noProof/>
            <w:szCs w:val="22"/>
          </w:rPr>
          <w:tab/>
        </w:r>
        <w:r w:rsidR="00501BB7" w:rsidRPr="004819C0">
          <w:rPr>
            <w:rStyle w:val="Hyperlink"/>
            <w:noProof/>
          </w:rPr>
          <w:t>Pénétration des entreprises étrangères</w:t>
        </w:r>
        <w:r w:rsidR="00501BB7">
          <w:rPr>
            <w:noProof/>
            <w:webHidden/>
          </w:rPr>
          <w:tab/>
        </w:r>
        <w:r w:rsidR="00501BB7">
          <w:rPr>
            <w:noProof/>
            <w:webHidden/>
          </w:rPr>
          <w:fldChar w:fldCharType="begin"/>
        </w:r>
        <w:r w:rsidR="00501BB7">
          <w:rPr>
            <w:noProof/>
            <w:webHidden/>
          </w:rPr>
          <w:instrText xml:space="preserve"> PAGEREF _Toc446904684 \h </w:instrText>
        </w:r>
        <w:r w:rsidR="00501BB7">
          <w:rPr>
            <w:noProof/>
            <w:webHidden/>
          </w:rPr>
        </w:r>
        <w:r w:rsidR="00501BB7">
          <w:rPr>
            <w:noProof/>
            <w:webHidden/>
          </w:rPr>
          <w:fldChar w:fldCharType="separate"/>
        </w:r>
        <w:r w:rsidR="003F6757">
          <w:rPr>
            <w:noProof/>
            <w:webHidden/>
          </w:rPr>
          <w:t>6</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85" w:history="1">
        <w:r w:rsidR="00501BB7" w:rsidRPr="004819C0">
          <w:rPr>
            <w:rStyle w:val="Hyperlink"/>
            <w:noProof/>
          </w:rPr>
          <w:t>2.3</w:t>
        </w:r>
        <w:r w:rsidR="00501BB7">
          <w:rPr>
            <w:rFonts w:asciiTheme="minorHAnsi" w:eastAsiaTheme="minorEastAsia" w:hAnsiTheme="minorHAnsi" w:cstheme="minorBidi"/>
            <w:noProof/>
            <w:szCs w:val="22"/>
          </w:rPr>
          <w:tab/>
        </w:r>
        <w:r w:rsidR="00501BB7" w:rsidRPr="004819C0">
          <w:rPr>
            <w:rStyle w:val="Hyperlink"/>
            <w:noProof/>
          </w:rPr>
          <w:t>Les entreprises n’appartenant pas au secteur</w:t>
        </w:r>
        <w:r w:rsidR="00501BB7">
          <w:rPr>
            <w:noProof/>
            <w:webHidden/>
          </w:rPr>
          <w:tab/>
        </w:r>
        <w:r w:rsidR="00501BB7">
          <w:rPr>
            <w:noProof/>
            <w:webHidden/>
          </w:rPr>
          <w:fldChar w:fldCharType="begin"/>
        </w:r>
        <w:r w:rsidR="00501BB7">
          <w:rPr>
            <w:noProof/>
            <w:webHidden/>
          </w:rPr>
          <w:instrText xml:space="preserve"> PAGEREF _Toc446904685 \h </w:instrText>
        </w:r>
        <w:r w:rsidR="00501BB7">
          <w:rPr>
            <w:noProof/>
            <w:webHidden/>
          </w:rPr>
        </w:r>
        <w:r w:rsidR="00501BB7">
          <w:rPr>
            <w:noProof/>
            <w:webHidden/>
          </w:rPr>
          <w:fldChar w:fldCharType="separate"/>
        </w:r>
        <w:r w:rsidR="003F6757">
          <w:rPr>
            <w:noProof/>
            <w:webHidden/>
          </w:rPr>
          <w:t>6</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86" w:history="1">
        <w:r w:rsidR="00501BB7" w:rsidRPr="004819C0">
          <w:rPr>
            <w:rStyle w:val="Hyperlink"/>
            <w:noProof/>
          </w:rPr>
          <w:t>2.4</w:t>
        </w:r>
        <w:r w:rsidR="00501BB7">
          <w:rPr>
            <w:rFonts w:asciiTheme="minorHAnsi" w:eastAsiaTheme="minorEastAsia" w:hAnsiTheme="minorHAnsi" w:cstheme="minorBidi"/>
            <w:noProof/>
            <w:szCs w:val="22"/>
          </w:rPr>
          <w:tab/>
        </w:r>
        <w:r w:rsidR="00501BB7" w:rsidRPr="004819C0">
          <w:rPr>
            <w:rStyle w:val="Hyperlink"/>
            <w:noProof/>
          </w:rPr>
          <w:t>Les objectifs, les représentations et la culture sectorielle</w:t>
        </w:r>
        <w:r w:rsidR="00501BB7">
          <w:rPr>
            <w:noProof/>
            <w:webHidden/>
          </w:rPr>
          <w:tab/>
        </w:r>
        <w:r w:rsidR="00501BB7">
          <w:rPr>
            <w:noProof/>
            <w:webHidden/>
          </w:rPr>
          <w:fldChar w:fldCharType="begin"/>
        </w:r>
        <w:r w:rsidR="00501BB7">
          <w:rPr>
            <w:noProof/>
            <w:webHidden/>
          </w:rPr>
          <w:instrText xml:space="preserve"> PAGEREF _Toc446904686 \h </w:instrText>
        </w:r>
        <w:r w:rsidR="00501BB7">
          <w:rPr>
            <w:noProof/>
            <w:webHidden/>
          </w:rPr>
        </w:r>
        <w:r w:rsidR="00501BB7">
          <w:rPr>
            <w:noProof/>
            <w:webHidden/>
          </w:rPr>
          <w:fldChar w:fldCharType="separate"/>
        </w:r>
        <w:r w:rsidR="003F6757">
          <w:rPr>
            <w:noProof/>
            <w:webHidden/>
          </w:rPr>
          <w:t>6</w:t>
        </w:r>
        <w:r w:rsidR="00501BB7">
          <w:rPr>
            <w:noProof/>
            <w:webHidden/>
          </w:rPr>
          <w:fldChar w:fldCharType="end"/>
        </w:r>
      </w:hyperlink>
    </w:p>
    <w:p w:rsidR="00501BB7" w:rsidRDefault="003A69E0">
      <w:pPr>
        <w:pStyle w:val="TOC1"/>
        <w:rPr>
          <w:rFonts w:asciiTheme="minorHAnsi" w:eastAsiaTheme="minorEastAsia" w:hAnsiTheme="minorHAnsi" w:cstheme="minorBidi"/>
          <w:noProof/>
          <w:szCs w:val="22"/>
        </w:rPr>
      </w:pPr>
      <w:hyperlink w:anchor="_Toc446904687" w:history="1">
        <w:r w:rsidR="00501BB7" w:rsidRPr="004819C0">
          <w:rPr>
            <w:rStyle w:val="Hyperlink"/>
            <w:noProof/>
          </w:rPr>
          <w:t>3</w:t>
        </w:r>
        <w:r w:rsidR="00501BB7">
          <w:rPr>
            <w:rFonts w:asciiTheme="minorHAnsi" w:eastAsiaTheme="minorEastAsia" w:hAnsiTheme="minorHAnsi" w:cstheme="minorBidi"/>
            <w:noProof/>
            <w:szCs w:val="22"/>
          </w:rPr>
          <w:tab/>
        </w:r>
        <w:r w:rsidR="00501BB7" w:rsidRPr="004819C0">
          <w:rPr>
            <w:rStyle w:val="Hyperlink"/>
            <w:noProof/>
          </w:rPr>
          <w:t>Démographie du secteur</w:t>
        </w:r>
        <w:r w:rsidR="00501BB7">
          <w:rPr>
            <w:noProof/>
            <w:webHidden/>
          </w:rPr>
          <w:tab/>
        </w:r>
        <w:r w:rsidR="00501BB7">
          <w:rPr>
            <w:noProof/>
            <w:webHidden/>
          </w:rPr>
          <w:fldChar w:fldCharType="begin"/>
        </w:r>
        <w:r w:rsidR="00501BB7">
          <w:rPr>
            <w:noProof/>
            <w:webHidden/>
          </w:rPr>
          <w:instrText xml:space="preserve"> PAGEREF _Toc446904687 \h </w:instrText>
        </w:r>
        <w:r w:rsidR="00501BB7">
          <w:rPr>
            <w:noProof/>
            <w:webHidden/>
          </w:rPr>
        </w:r>
        <w:r w:rsidR="00501BB7">
          <w:rPr>
            <w:noProof/>
            <w:webHidden/>
          </w:rPr>
          <w:fldChar w:fldCharType="separate"/>
        </w:r>
        <w:r w:rsidR="003F6757">
          <w:rPr>
            <w:noProof/>
            <w:webHidden/>
          </w:rPr>
          <w:t>7</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88" w:history="1">
        <w:r w:rsidR="00501BB7" w:rsidRPr="004819C0">
          <w:rPr>
            <w:rStyle w:val="Hyperlink"/>
            <w:noProof/>
          </w:rPr>
          <w:t>3.1</w:t>
        </w:r>
        <w:r w:rsidR="00501BB7">
          <w:rPr>
            <w:rFonts w:asciiTheme="minorHAnsi" w:eastAsiaTheme="minorEastAsia" w:hAnsiTheme="minorHAnsi" w:cstheme="minorBidi"/>
            <w:noProof/>
            <w:szCs w:val="22"/>
          </w:rPr>
          <w:tab/>
        </w:r>
        <w:r w:rsidR="00501BB7" w:rsidRPr="004819C0">
          <w:rPr>
            <w:rStyle w:val="Hyperlink"/>
            <w:noProof/>
          </w:rPr>
          <w:t>Les entrées / sorties</w:t>
        </w:r>
        <w:r w:rsidR="00501BB7">
          <w:rPr>
            <w:noProof/>
            <w:webHidden/>
          </w:rPr>
          <w:tab/>
        </w:r>
        <w:r w:rsidR="00501BB7">
          <w:rPr>
            <w:noProof/>
            <w:webHidden/>
          </w:rPr>
          <w:fldChar w:fldCharType="begin"/>
        </w:r>
        <w:r w:rsidR="00501BB7">
          <w:rPr>
            <w:noProof/>
            <w:webHidden/>
          </w:rPr>
          <w:instrText xml:space="preserve"> PAGEREF _Toc446904688 \h </w:instrText>
        </w:r>
        <w:r w:rsidR="00501BB7">
          <w:rPr>
            <w:noProof/>
            <w:webHidden/>
          </w:rPr>
        </w:r>
        <w:r w:rsidR="00501BB7">
          <w:rPr>
            <w:noProof/>
            <w:webHidden/>
          </w:rPr>
          <w:fldChar w:fldCharType="separate"/>
        </w:r>
        <w:r w:rsidR="003F6757">
          <w:rPr>
            <w:noProof/>
            <w:webHidden/>
          </w:rPr>
          <w:t>7</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89" w:history="1">
        <w:r w:rsidR="00501BB7" w:rsidRPr="004819C0">
          <w:rPr>
            <w:rStyle w:val="Hyperlink"/>
            <w:noProof/>
          </w:rPr>
          <w:t>3.2</w:t>
        </w:r>
        <w:r w:rsidR="00501BB7">
          <w:rPr>
            <w:rFonts w:asciiTheme="minorHAnsi" w:eastAsiaTheme="minorEastAsia" w:hAnsiTheme="minorHAnsi" w:cstheme="minorBidi"/>
            <w:noProof/>
            <w:szCs w:val="22"/>
          </w:rPr>
          <w:tab/>
        </w:r>
        <w:r w:rsidR="00501BB7" w:rsidRPr="004819C0">
          <w:rPr>
            <w:rStyle w:val="Hyperlink"/>
            <w:noProof/>
          </w:rPr>
          <w:t>L’âge des entreprises</w:t>
        </w:r>
        <w:r w:rsidR="00501BB7">
          <w:rPr>
            <w:noProof/>
            <w:webHidden/>
          </w:rPr>
          <w:tab/>
        </w:r>
        <w:r w:rsidR="00501BB7">
          <w:rPr>
            <w:noProof/>
            <w:webHidden/>
          </w:rPr>
          <w:fldChar w:fldCharType="begin"/>
        </w:r>
        <w:r w:rsidR="00501BB7">
          <w:rPr>
            <w:noProof/>
            <w:webHidden/>
          </w:rPr>
          <w:instrText xml:space="preserve"> PAGEREF _Toc446904689 \h </w:instrText>
        </w:r>
        <w:r w:rsidR="00501BB7">
          <w:rPr>
            <w:noProof/>
            <w:webHidden/>
          </w:rPr>
        </w:r>
        <w:r w:rsidR="00501BB7">
          <w:rPr>
            <w:noProof/>
            <w:webHidden/>
          </w:rPr>
          <w:fldChar w:fldCharType="separate"/>
        </w:r>
        <w:r w:rsidR="003F6757">
          <w:rPr>
            <w:noProof/>
            <w:webHidden/>
          </w:rPr>
          <w:t>7</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90" w:history="1">
        <w:r w:rsidR="00501BB7" w:rsidRPr="004819C0">
          <w:rPr>
            <w:rStyle w:val="Hyperlink"/>
            <w:noProof/>
          </w:rPr>
          <w:t>3.3</w:t>
        </w:r>
        <w:r w:rsidR="00501BB7">
          <w:rPr>
            <w:rFonts w:asciiTheme="minorHAnsi" w:eastAsiaTheme="minorEastAsia" w:hAnsiTheme="minorHAnsi" w:cstheme="minorBidi"/>
            <w:noProof/>
            <w:szCs w:val="22"/>
          </w:rPr>
          <w:tab/>
        </w:r>
        <w:r w:rsidR="00501BB7" w:rsidRPr="004819C0">
          <w:rPr>
            <w:rStyle w:val="Hyperlink"/>
            <w:noProof/>
          </w:rPr>
          <w:t>Les fusions-acquisitions</w:t>
        </w:r>
        <w:r w:rsidR="00501BB7">
          <w:rPr>
            <w:noProof/>
            <w:webHidden/>
          </w:rPr>
          <w:tab/>
        </w:r>
        <w:r w:rsidR="00501BB7">
          <w:rPr>
            <w:noProof/>
            <w:webHidden/>
          </w:rPr>
          <w:fldChar w:fldCharType="begin"/>
        </w:r>
        <w:r w:rsidR="00501BB7">
          <w:rPr>
            <w:noProof/>
            <w:webHidden/>
          </w:rPr>
          <w:instrText xml:space="preserve"> PAGEREF _Toc446904690 \h </w:instrText>
        </w:r>
        <w:r w:rsidR="00501BB7">
          <w:rPr>
            <w:noProof/>
            <w:webHidden/>
          </w:rPr>
        </w:r>
        <w:r w:rsidR="00501BB7">
          <w:rPr>
            <w:noProof/>
            <w:webHidden/>
          </w:rPr>
          <w:fldChar w:fldCharType="separate"/>
        </w:r>
        <w:r w:rsidR="003F6757">
          <w:rPr>
            <w:noProof/>
            <w:webHidden/>
          </w:rPr>
          <w:t>8</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91" w:history="1">
        <w:r w:rsidR="00501BB7" w:rsidRPr="004819C0">
          <w:rPr>
            <w:rStyle w:val="Hyperlink"/>
            <w:noProof/>
          </w:rPr>
          <w:t>3.4</w:t>
        </w:r>
        <w:r w:rsidR="00501BB7">
          <w:rPr>
            <w:rFonts w:asciiTheme="minorHAnsi" w:eastAsiaTheme="minorEastAsia" w:hAnsiTheme="minorHAnsi" w:cstheme="minorBidi"/>
            <w:noProof/>
            <w:szCs w:val="22"/>
          </w:rPr>
          <w:tab/>
        </w:r>
        <w:r w:rsidR="00501BB7" w:rsidRPr="004819C0">
          <w:rPr>
            <w:rStyle w:val="Hyperlink"/>
            <w:noProof/>
          </w:rPr>
          <w:t>La localisation géographique</w:t>
        </w:r>
        <w:r w:rsidR="00501BB7">
          <w:rPr>
            <w:noProof/>
            <w:webHidden/>
          </w:rPr>
          <w:tab/>
        </w:r>
        <w:r w:rsidR="00501BB7">
          <w:rPr>
            <w:noProof/>
            <w:webHidden/>
          </w:rPr>
          <w:fldChar w:fldCharType="begin"/>
        </w:r>
        <w:r w:rsidR="00501BB7">
          <w:rPr>
            <w:noProof/>
            <w:webHidden/>
          </w:rPr>
          <w:instrText xml:space="preserve"> PAGEREF _Toc446904691 \h </w:instrText>
        </w:r>
        <w:r w:rsidR="00501BB7">
          <w:rPr>
            <w:noProof/>
            <w:webHidden/>
          </w:rPr>
        </w:r>
        <w:r w:rsidR="00501BB7">
          <w:rPr>
            <w:noProof/>
            <w:webHidden/>
          </w:rPr>
          <w:fldChar w:fldCharType="separate"/>
        </w:r>
        <w:r w:rsidR="003F6757">
          <w:rPr>
            <w:noProof/>
            <w:webHidden/>
          </w:rPr>
          <w:t>9</w:t>
        </w:r>
        <w:r w:rsidR="00501BB7">
          <w:rPr>
            <w:noProof/>
            <w:webHidden/>
          </w:rPr>
          <w:fldChar w:fldCharType="end"/>
        </w:r>
      </w:hyperlink>
    </w:p>
    <w:p w:rsidR="00501BB7" w:rsidRDefault="003A69E0">
      <w:pPr>
        <w:pStyle w:val="TOC1"/>
        <w:rPr>
          <w:rFonts w:asciiTheme="minorHAnsi" w:eastAsiaTheme="minorEastAsia" w:hAnsiTheme="minorHAnsi" w:cstheme="minorBidi"/>
          <w:noProof/>
          <w:szCs w:val="22"/>
        </w:rPr>
      </w:pPr>
      <w:hyperlink w:anchor="_Toc446904692" w:history="1">
        <w:r w:rsidR="00501BB7" w:rsidRPr="004819C0">
          <w:rPr>
            <w:rStyle w:val="Hyperlink"/>
            <w:noProof/>
          </w:rPr>
          <w:t>4</w:t>
        </w:r>
        <w:r w:rsidR="00501BB7">
          <w:rPr>
            <w:rFonts w:asciiTheme="minorHAnsi" w:eastAsiaTheme="minorEastAsia" w:hAnsiTheme="minorHAnsi" w:cstheme="minorBidi"/>
            <w:noProof/>
            <w:szCs w:val="22"/>
          </w:rPr>
          <w:tab/>
        </w:r>
        <w:r w:rsidR="00501BB7" w:rsidRPr="004819C0">
          <w:rPr>
            <w:rStyle w:val="Hyperlink"/>
            <w:noProof/>
          </w:rPr>
          <w:t>Concentration du secteur</w:t>
        </w:r>
        <w:r w:rsidR="00501BB7">
          <w:rPr>
            <w:noProof/>
            <w:webHidden/>
          </w:rPr>
          <w:tab/>
        </w:r>
        <w:r w:rsidR="00501BB7">
          <w:rPr>
            <w:noProof/>
            <w:webHidden/>
          </w:rPr>
          <w:fldChar w:fldCharType="begin"/>
        </w:r>
        <w:r w:rsidR="00501BB7">
          <w:rPr>
            <w:noProof/>
            <w:webHidden/>
          </w:rPr>
          <w:instrText xml:space="preserve"> PAGEREF _Toc446904692 \h </w:instrText>
        </w:r>
        <w:r w:rsidR="00501BB7">
          <w:rPr>
            <w:noProof/>
            <w:webHidden/>
          </w:rPr>
        </w:r>
        <w:r w:rsidR="00501BB7">
          <w:rPr>
            <w:noProof/>
            <w:webHidden/>
          </w:rPr>
          <w:fldChar w:fldCharType="separate"/>
        </w:r>
        <w:r w:rsidR="003F6757">
          <w:rPr>
            <w:noProof/>
            <w:webHidden/>
          </w:rPr>
          <w:t>10</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93" w:history="1">
        <w:r w:rsidR="00501BB7" w:rsidRPr="004819C0">
          <w:rPr>
            <w:rStyle w:val="Hyperlink"/>
            <w:noProof/>
          </w:rPr>
          <w:t>4.1</w:t>
        </w:r>
        <w:r w:rsidR="00501BB7">
          <w:rPr>
            <w:rFonts w:asciiTheme="minorHAnsi" w:eastAsiaTheme="minorEastAsia" w:hAnsiTheme="minorHAnsi" w:cstheme="minorBidi"/>
            <w:noProof/>
            <w:szCs w:val="22"/>
          </w:rPr>
          <w:tab/>
        </w:r>
        <w:r w:rsidR="00501BB7" w:rsidRPr="004819C0">
          <w:rPr>
            <w:rStyle w:val="Hyperlink"/>
            <w:noProof/>
          </w:rPr>
          <w:t>Mesures de la concentration</w:t>
        </w:r>
        <w:r w:rsidR="00501BB7">
          <w:rPr>
            <w:noProof/>
            <w:webHidden/>
          </w:rPr>
          <w:tab/>
        </w:r>
        <w:r w:rsidR="00501BB7">
          <w:rPr>
            <w:noProof/>
            <w:webHidden/>
          </w:rPr>
          <w:fldChar w:fldCharType="begin"/>
        </w:r>
        <w:r w:rsidR="00501BB7">
          <w:rPr>
            <w:noProof/>
            <w:webHidden/>
          </w:rPr>
          <w:instrText xml:space="preserve"> PAGEREF _Toc446904693 \h </w:instrText>
        </w:r>
        <w:r w:rsidR="00501BB7">
          <w:rPr>
            <w:noProof/>
            <w:webHidden/>
          </w:rPr>
        </w:r>
        <w:r w:rsidR="00501BB7">
          <w:rPr>
            <w:noProof/>
            <w:webHidden/>
          </w:rPr>
          <w:fldChar w:fldCharType="separate"/>
        </w:r>
        <w:r w:rsidR="003F6757">
          <w:rPr>
            <w:noProof/>
            <w:webHidden/>
          </w:rPr>
          <w:t>10</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94" w:history="1">
        <w:r w:rsidR="00501BB7" w:rsidRPr="004819C0">
          <w:rPr>
            <w:rStyle w:val="Hyperlink"/>
            <w:noProof/>
          </w:rPr>
          <w:t>4.2</w:t>
        </w:r>
        <w:r w:rsidR="00501BB7">
          <w:rPr>
            <w:rFonts w:asciiTheme="minorHAnsi" w:eastAsiaTheme="minorEastAsia" w:hAnsiTheme="minorHAnsi" w:cstheme="minorBidi"/>
            <w:noProof/>
            <w:szCs w:val="22"/>
          </w:rPr>
          <w:tab/>
        </w:r>
        <w:r w:rsidR="00501BB7" w:rsidRPr="004819C0">
          <w:rPr>
            <w:rStyle w:val="Hyperlink"/>
            <w:noProof/>
          </w:rPr>
          <w:t>La taille minimale optimale (TMO)</w:t>
        </w:r>
        <w:r w:rsidR="00501BB7">
          <w:rPr>
            <w:noProof/>
            <w:webHidden/>
          </w:rPr>
          <w:tab/>
        </w:r>
        <w:r w:rsidR="00501BB7">
          <w:rPr>
            <w:noProof/>
            <w:webHidden/>
          </w:rPr>
          <w:fldChar w:fldCharType="begin"/>
        </w:r>
        <w:r w:rsidR="00501BB7">
          <w:rPr>
            <w:noProof/>
            <w:webHidden/>
          </w:rPr>
          <w:instrText xml:space="preserve"> PAGEREF _Toc446904694 \h </w:instrText>
        </w:r>
        <w:r w:rsidR="00501BB7">
          <w:rPr>
            <w:noProof/>
            <w:webHidden/>
          </w:rPr>
        </w:r>
        <w:r w:rsidR="00501BB7">
          <w:rPr>
            <w:noProof/>
            <w:webHidden/>
          </w:rPr>
          <w:fldChar w:fldCharType="separate"/>
        </w:r>
        <w:r w:rsidR="003F6757">
          <w:rPr>
            <w:noProof/>
            <w:webHidden/>
          </w:rPr>
          <w:t>10</w:t>
        </w:r>
        <w:r w:rsidR="00501BB7">
          <w:rPr>
            <w:noProof/>
            <w:webHidden/>
          </w:rPr>
          <w:fldChar w:fldCharType="end"/>
        </w:r>
      </w:hyperlink>
    </w:p>
    <w:p w:rsidR="00501BB7" w:rsidRDefault="003A69E0">
      <w:pPr>
        <w:pStyle w:val="TOC2"/>
        <w:rPr>
          <w:rFonts w:asciiTheme="minorHAnsi" w:eastAsiaTheme="minorEastAsia" w:hAnsiTheme="minorHAnsi" w:cstheme="minorBidi"/>
          <w:noProof/>
          <w:szCs w:val="22"/>
        </w:rPr>
      </w:pPr>
      <w:hyperlink w:anchor="_Toc446904695" w:history="1">
        <w:r w:rsidR="00501BB7" w:rsidRPr="004819C0">
          <w:rPr>
            <w:rStyle w:val="Hyperlink"/>
            <w:noProof/>
          </w:rPr>
          <w:t>4.3</w:t>
        </w:r>
        <w:r w:rsidR="00501BB7">
          <w:rPr>
            <w:rFonts w:asciiTheme="minorHAnsi" w:eastAsiaTheme="minorEastAsia" w:hAnsiTheme="minorHAnsi" w:cstheme="minorBidi"/>
            <w:noProof/>
            <w:szCs w:val="22"/>
          </w:rPr>
          <w:tab/>
        </w:r>
        <w:r w:rsidR="00501BB7" w:rsidRPr="004819C0">
          <w:rPr>
            <w:rStyle w:val="Hyperlink"/>
            <w:noProof/>
          </w:rPr>
          <w:t>Les barrières à l’entrée</w:t>
        </w:r>
        <w:r w:rsidR="00501BB7">
          <w:rPr>
            <w:noProof/>
            <w:webHidden/>
          </w:rPr>
          <w:tab/>
        </w:r>
        <w:r w:rsidR="00501BB7">
          <w:rPr>
            <w:noProof/>
            <w:webHidden/>
          </w:rPr>
          <w:fldChar w:fldCharType="begin"/>
        </w:r>
        <w:r w:rsidR="00501BB7">
          <w:rPr>
            <w:noProof/>
            <w:webHidden/>
          </w:rPr>
          <w:instrText xml:space="preserve"> PAGEREF _Toc446904695 \h </w:instrText>
        </w:r>
        <w:r w:rsidR="00501BB7">
          <w:rPr>
            <w:noProof/>
            <w:webHidden/>
          </w:rPr>
        </w:r>
        <w:r w:rsidR="00501BB7">
          <w:rPr>
            <w:noProof/>
            <w:webHidden/>
          </w:rPr>
          <w:fldChar w:fldCharType="separate"/>
        </w:r>
        <w:r w:rsidR="003F6757">
          <w:rPr>
            <w:noProof/>
            <w:webHidden/>
          </w:rPr>
          <w:t>11</w:t>
        </w:r>
        <w:r w:rsidR="00501BB7">
          <w:rPr>
            <w:noProof/>
            <w:webHidden/>
          </w:rPr>
          <w:fldChar w:fldCharType="end"/>
        </w:r>
      </w:hyperlink>
    </w:p>
    <w:p w:rsidR="00501BB7" w:rsidRDefault="003A69E0">
      <w:pPr>
        <w:pStyle w:val="TOC1"/>
        <w:rPr>
          <w:rFonts w:asciiTheme="minorHAnsi" w:eastAsiaTheme="minorEastAsia" w:hAnsiTheme="minorHAnsi" w:cstheme="minorBidi"/>
          <w:noProof/>
          <w:szCs w:val="22"/>
        </w:rPr>
      </w:pPr>
      <w:hyperlink w:anchor="_Toc446904696" w:history="1">
        <w:r w:rsidR="00501BB7" w:rsidRPr="004819C0">
          <w:rPr>
            <w:rStyle w:val="Hyperlink"/>
            <w:noProof/>
          </w:rPr>
          <w:t>Annexes</w:t>
        </w:r>
        <w:r w:rsidR="00501BB7">
          <w:rPr>
            <w:noProof/>
            <w:webHidden/>
          </w:rPr>
          <w:tab/>
        </w:r>
        <w:r w:rsidR="00501BB7">
          <w:rPr>
            <w:noProof/>
            <w:webHidden/>
          </w:rPr>
          <w:fldChar w:fldCharType="begin"/>
        </w:r>
        <w:r w:rsidR="00501BB7">
          <w:rPr>
            <w:noProof/>
            <w:webHidden/>
          </w:rPr>
          <w:instrText xml:space="preserve"> PAGEREF _Toc446904696 \h </w:instrText>
        </w:r>
        <w:r w:rsidR="00501BB7">
          <w:rPr>
            <w:noProof/>
            <w:webHidden/>
          </w:rPr>
        </w:r>
        <w:r w:rsidR="00501BB7">
          <w:rPr>
            <w:noProof/>
            <w:webHidden/>
          </w:rPr>
          <w:fldChar w:fldCharType="separate"/>
        </w:r>
        <w:r w:rsidR="003F6757">
          <w:rPr>
            <w:noProof/>
            <w:webHidden/>
          </w:rPr>
          <w:t>12</w:t>
        </w:r>
        <w:r w:rsidR="00501BB7">
          <w:rPr>
            <w:noProof/>
            <w:webHidden/>
          </w:rPr>
          <w:fldChar w:fldCharType="end"/>
        </w:r>
      </w:hyperlink>
    </w:p>
    <w:p w:rsidR="00164932" w:rsidRDefault="002B6AE5" w:rsidP="00AF22F5">
      <w:r w:rsidRPr="00307FE4">
        <w:fldChar w:fldCharType="end"/>
      </w:r>
    </w:p>
    <w:p w:rsidR="004443D6" w:rsidRDefault="004443D6" w:rsidP="00AF22F5"/>
    <w:p w:rsidR="004443D6" w:rsidRDefault="009E6B17" w:rsidP="00AF22F5">
      <w:pPr>
        <w:pStyle w:val="Heading1"/>
      </w:pPr>
      <w:bookmarkStart w:id="7" w:name="_Toc446904681"/>
      <w:r w:rsidRPr="009E6B17">
        <w:lastRenderedPageBreak/>
        <w:t>Executive Summary</w:t>
      </w:r>
      <w:bookmarkEnd w:id="7"/>
    </w:p>
    <w:p w:rsidR="009E6B17" w:rsidRPr="008C4FD6" w:rsidRDefault="009E6B17" w:rsidP="008C4FD6">
      <w:r w:rsidRPr="008C4FD6">
        <w:t xml:space="preserve">Nous avons vu dans la première fiche que le marché du secteur conseil en systèmes et logiciels informatique (6202A) </w:t>
      </w:r>
      <w:r w:rsidR="008C4FD6" w:rsidRPr="008C4FD6">
        <w:t xml:space="preserve">en France </w:t>
      </w:r>
      <w:r w:rsidRPr="008C4FD6">
        <w:t xml:space="preserve">est de 30 milliard d'euro en France en 2014. Ce marché représente 50% du marché des services informatique, 20% du marché des TIC et 1% du PIB avec une croissance annuelle moyenne de 6,5 % depuis 1995. Dans un contexte de transformation digitale de l'économie, les entreprises de ce secteur s’adressent à l'ensemble des autres secteurs d'activité où les clients sont de tailles différentes. Les principaux clients sont : </w:t>
      </w:r>
      <w:r w:rsidRPr="008C4FD6">
        <w:rPr>
          <w:rFonts w:eastAsia="Calibri"/>
        </w:rPr>
        <w:t xml:space="preserve">les banques et les assurances, </w:t>
      </w:r>
      <w:r w:rsidRPr="008C4FD6">
        <w:t xml:space="preserve">le secteur public, l’industrie, </w:t>
      </w:r>
      <w:r w:rsidR="008C4FD6" w:rsidRPr="008C4FD6">
        <w:t>le commerce et la distribution</w:t>
      </w:r>
      <w:r w:rsidR="008C4FD6">
        <w:t xml:space="preserve">, </w:t>
      </w:r>
      <w:r w:rsidRPr="008C4FD6">
        <w:t>les télécoms</w:t>
      </w:r>
      <w:r w:rsidR="008C4FD6">
        <w:t xml:space="preserve"> </w:t>
      </w:r>
      <w:r w:rsidRPr="008C4FD6">
        <w:t xml:space="preserve">et l’énergie. Le digital n’est pas seulement un ensemble de nouvelles technologies d’information et de communication mais aussi une nouvelle mentalité et de nouveaux usages qui transforment les processus d’approvisionnement, de production, de distribution et de consommation. Ce contexte </w:t>
      </w:r>
      <w:r w:rsidR="008C4FD6">
        <w:t>favorable à la</w:t>
      </w:r>
      <w:r w:rsidRPr="008C4FD6">
        <w:t xml:space="preserve"> croissance est donc le résultat des nouveaux besoins liés d’une part aux nouvelles technologies de l’information : les </w:t>
      </w:r>
      <w:r w:rsidRPr="008C4FD6">
        <w:rPr>
          <w:b/>
          <w:bCs/>
        </w:rPr>
        <w:t>SMACS</w:t>
      </w:r>
      <w:r w:rsidRPr="008C4FD6">
        <w:t xml:space="preserve"> (Social, Mobile, Analytics, Cloud Computing, Cybersécurité) et d’autre part aux nouveaux usages comme le </w:t>
      </w:r>
      <w:r w:rsidRPr="008C4FD6">
        <w:rPr>
          <w:b/>
          <w:bCs/>
        </w:rPr>
        <w:t>DevOps</w:t>
      </w:r>
      <w:r w:rsidRPr="008C4FD6">
        <w:t xml:space="preserve"> (intégration du DEVeloppement et des OPérationS ou production informatique avec les nouvelles méthodes de gestion autour de l’agilité), les nouvelles formes </w:t>
      </w:r>
      <w:r w:rsidR="008C4FD6">
        <w:t xml:space="preserve">digitales </w:t>
      </w:r>
      <w:r w:rsidRPr="008C4FD6">
        <w:t xml:space="preserve">de gestion de relation client, de nouvelles méthodes de travail à distance (télétravail) etc. </w:t>
      </w:r>
    </w:p>
    <w:p w:rsidR="00D017BB" w:rsidRDefault="00D017BB" w:rsidP="00AB734A">
      <w:r>
        <w:t>Nous étudions dans cette fiche la caractérisation des entreprises, la démographie et la concentration du secteur.</w:t>
      </w:r>
    </w:p>
    <w:p w:rsidR="00A60506" w:rsidRDefault="009E6B17" w:rsidP="00B53BF3">
      <w:r w:rsidRPr="008C4FD6">
        <w:t>Nous allons voir dans cette fiche que ce secteur</w:t>
      </w:r>
      <w:r w:rsidR="00180438">
        <w:t>, constitué de plus de 18 000 entreprises,</w:t>
      </w:r>
      <w:r w:rsidRPr="008C4FD6">
        <w:t xml:space="preserve"> est peu concentré</w:t>
      </w:r>
      <w:r w:rsidR="00AB734A">
        <w:t xml:space="preserve">. En 2014, le C4 est de </w:t>
      </w:r>
      <w:r w:rsidR="00D017BB">
        <w:t>20</w:t>
      </w:r>
      <w:r w:rsidR="00AB734A">
        <w:t>%, le top 100 partage 68% des parts de marché, le</w:t>
      </w:r>
      <w:r w:rsidRPr="008C4FD6">
        <w:t xml:space="preserve"> top 500 </w:t>
      </w:r>
      <w:r w:rsidR="00D017BB">
        <w:t xml:space="preserve">en </w:t>
      </w:r>
      <w:r w:rsidR="00AB734A">
        <w:t>détient</w:t>
      </w:r>
      <w:r w:rsidRPr="008C4FD6">
        <w:t xml:space="preserve"> 85% et le premier quartile, c’est-à-dire les 5000 premières entreprises</w:t>
      </w:r>
      <w:r w:rsidR="00AB734A">
        <w:t>,</w:t>
      </w:r>
      <w:r w:rsidRPr="008C4FD6">
        <w:t xml:space="preserve"> partagent pratiquement tout le marché (plus de 99%). Nous allons voir aussi que la TMO</w:t>
      </w:r>
      <w:r w:rsidR="008C4FD6">
        <w:t xml:space="preserve"> (Taille minimale optimale), </w:t>
      </w:r>
      <w:r w:rsidRPr="008C4FD6">
        <w:t>en 2014</w:t>
      </w:r>
      <w:r w:rsidR="00D017BB">
        <w:t>,</w:t>
      </w:r>
      <w:r w:rsidRPr="008C4FD6">
        <w:t xml:space="preserve"> est autour de 160 millions d'euro. Cela </w:t>
      </w:r>
      <w:r w:rsidR="00D017BB">
        <w:t>explique les nombreuses opérations de fusions e</w:t>
      </w:r>
      <w:r w:rsidR="00E5131F">
        <w:t>t</w:t>
      </w:r>
      <w:r w:rsidR="00D017BB">
        <w:t xml:space="preserve"> acquisitions observées. En effet, plus de 90 opérations sont enregistrées en 2014 et portent sur près de 4 milliards d’euro. Malgré cette consolidation, le secteur reste peu concentré voire la concentration a baissé entre 2004 et 2014. En effet, l’indice d’</w:t>
      </w:r>
      <w:proofErr w:type="spellStart"/>
      <w:r w:rsidR="00D017BB">
        <w:t>Herfindahl</w:t>
      </w:r>
      <w:proofErr w:type="spellEnd"/>
      <w:r w:rsidR="00D017BB">
        <w:t xml:space="preserve"> passe de 587 en 2004 à 168 en 2014. Cela s’explique par le fait que les barrières à l’entrée sont faibles et le marché qui est en croissance annuelle moyenne de 6,5%, attire les création</w:t>
      </w:r>
      <w:r w:rsidR="00180438">
        <w:t>s</w:t>
      </w:r>
      <w:r w:rsidR="00D017BB">
        <w:t xml:space="preserve"> ex nihilo</w:t>
      </w:r>
      <w:r w:rsidR="00180438">
        <w:t xml:space="preserve"> qui sont généralement des consultants indépendants et des </w:t>
      </w:r>
      <w:proofErr w:type="spellStart"/>
      <w:r w:rsidR="00180438">
        <w:t>micro-entreprises</w:t>
      </w:r>
      <w:proofErr w:type="spellEnd"/>
      <w:r w:rsidR="00180438">
        <w:t>.</w:t>
      </w:r>
      <w:r w:rsidR="00D017BB">
        <w:t xml:space="preserve"> </w:t>
      </w:r>
      <w:r w:rsidR="00180438">
        <w:t>Cela</w:t>
      </w:r>
      <w:r w:rsidR="00D017BB">
        <w:t xml:space="preserve"> </w:t>
      </w:r>
      <w:r w:rsidRPr="008C4FD6">
        <w:t xml:space="preserve">veut dire qu'on s'attend </w:t>
      </w:r>
      <w:r w:rsidR="00180438">
        <w:t xml:space="preserve">encore </w:t>
      </w:r>
      <w:r w:rsidRPr="008C4FD6">
        <w:t>à beaucoup d'opérations de fusion et acquisitions avant d'atteindre l'équilibre que nous estimons à 185 entreprises</w:t>
      </w:r>
      <w:r w:rsidR="00180438">
        <w:t xml:space="preserve"> en 2014</w:t>
      </w:r>
      <w:r w:rsidRPr="008C4FD6">
        <w:t>. En effet, les montants de</w:t>
      </w:r>
      <w:r w:rsidR="008C4FD6">
        <w:t>s</w:t>
      </w:r>
      <w:r w:rsidRPr="008C4FD6">
        <w:t xml:space="preserve"> </w:t>
      </w:r>
      <w:r w:rsidR="008C4FD6">
        <w:t xml:space="preserve">opérations de fusion et acquisition </w:t>
      </w:r>
      <w:r w:rsidRPr="008C4FD6">
        <w:t>ont quadruplé depuis 10 ans</w:t>
      </w:r>
      <w:r w:rsidR="00E5131F">
        <w:t xml:space="preserve"> et vont très probablement continuer à augmenter</w:t>
      </w:r>
      <w:r w:rsidRPr="008C4FD6">
        <w:t xml:space="preserve">. </w:t>
      </w:r>
      <w:r w:rsidR="00180438">
        <w:t>Pour l’instant, 91% des entreprises du conseil en systèmes et logiciels informatique ont entre 1 et 49 salariés et emploient 14% de l’effectif du secteur. Seulement 0,3 % des entreprises ont plus de 2000 salariés et emploient 44% de l’effectif global du secteur</w:t>
      </w:r>
      <w:r w:rsidR="00180438">
        <w:rPr>
          <w:rStyle w:val="FootnoteReference"/>
        </w:rPr>
        <w:footnoteReference w:id="1"/>
      </w:r>
      <w:r w:rsidR="00180438">
        <w:t xml:space="preserve">. </w:t>
      </w:r>
      <w:r w:rsidR="00A60506">
        <w:t>80% des entreprises de ce secteur sont regroupées  dans 6 régions principales en France autour des pôles de compétitivité liés aux TIC et à la transformation digitale de l’économie.</w:t>
      </w:r>
      <w:r w:rsidR="00B53BF3">
        <w:t xml:space="preserve"> Ces régions sont dans l’ordre d’importance : Île-de-France, Rhône-Alpes, </w:t>
      </w:r>
      <w:r w:rsidR="00B53BF3" w:rsidRPr="00B53BF3">
        <w:t>Provence-Alpes-Côte d'Azur</w:t>
      </w:r>
      <w:r w:rsidR="00B53BF3">
        <w:t xml:space="preserve">, </w:t>
      </w:r>
      <w:r w:rsidR="00B53BF3" w:rsidRPr="00B53BF3">
        <w:t>Nord-Pas-de-Calais</w:t>
      </w:r>
      <w:r w:rsidR="00B53BF3">
        <w:t xml:space="preserve">, </w:t>
      </w:r>
      <w:r w:rsidR="00B53BF3" w:rsidRPr="00B53BF3">
        <w:t>Pays de la Loire</w:t>
      </w:r>
      <w:r w:rsidR="00B53BF3">
        <w:t xml:space="preserve"> et </w:t>
      </w:r>
      <w:r w:rsidR="00B53BF3" w:rsidRPr="00B53BF3">
        <w:t>Midi-Pyrénées</w:t>
      </w:r>
      <w:r w:rsidR="00B53BF3">
        <w:t>.</w:t>
      </w:r>
      <w:r w:rsidR="00A60506">
        <w:t xml:space="preserve"> </w:t>
      </w:r>
      <w:r w:rsidR="00C01913">
        <w:t>96% de l’effectif de ce secteur sont dans ces régions. La région d</w:t>
      </w:r>
      <w:r w:rsidR="00B53BF3">
        <w:t>e l</w:t>
      </w:r>
      <w:r w:rsidR="00C01913">
        <w:t xml:space="preserve">’Île-de-France est la plus remarquable et regroupe 53% des établissements et 68% des effectifs autour des deux pôles de compétitivité </w:t>
      </w:r>
      <w:r w:rsidR="00A60506">
        <w:t xml:space="preserve"> </w:t>
      </w:r>
      <w:r w:rsidR="00C01913">
        <w:t xml:space="preserve">CAP DIGITAL et SYSTEMATIC. </w:t>
      </w:r>
    </w:p>
    <w:p w:rsidR="009216B8" w:rsidRPr="00C01913" w:rsidRDefault="00347A3B" w:rsidP="00C01913">
      <w:r>
        <w:t>Il reste à étudier les positions dominantes et les structures des secteurs amont et aval pour compléter l’analyse de la structure industrielle</w:t>
      </w:r>
      <w:r w:rsidR="00A60506">
        <w:t xml:space="preserve"> de notre secteur</w:t>
      </w:r>
      <w:r>
        <w:t xml:space="preserve">. </w:t>
      </w:r>
    </w:p>
    <w:p w:rsidR="00806CF3" w:rsidRDefault="00C60FE2" w:rsidP="00806CF3">
      <w:pPr>
        <w:pStyle w:val="Heading1"/>
      </w:pPr>
      <w:bookmarkStart w:id="8" w:name="_Toc446904682"/>
      <w:r>
        <w:lastRenderedPageBreak/>
        <w:t>C</w:t>
      </w:r>
      <w:r w:rsidRPr="00F3680E">
        <w:t>aractérisation des entreprises</w:t>
      </w:r>
      <w:bookmarkEnd w:id="8"/>
    </w:p>
    <w:p w:rsidR="00C60FE2" w:rsidRDefault="00C60FE2" w:rsidP="00C60FE2">
      <w:pPr>
        <w:pStyle w:val="Heading2"/>
      </w:pPr>
      <w:bookmarkStart w:id="9" w:name="_Toc446682339"/>
      <w:bookmarkStart w:id="10" w:name="_Toc446904683"/>
      <w:r>
        <w:t>Taille des entreprises</w:t>
      </w:r>
      <w:bookmarkEnd w:id="9"/>
      <w:bookmarkEnd w:id="10"/>
    </w:p>
    <w:p w:rsidR="00AB734A" w:rsidRDefault="00F04A1F" w:rsidP="00041825">
      <w:pPr>
        <w:pStyle w:val="Graph"/>
      </w:pPr>
      <w:r>
        <w:drawing>
          <wp:inline distT="0" distB="0" distL="0" distR="0" wp14:anchorId="768F558A" wp14:editId="73D17389">
            <wp:extent cx="4108300" cy="268328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4120266" cy="2691098"/>
                    </a:xfrm>
                    <a:prstGeom prst="rect">
                      <a:avLst/>
                    </a:prstGeom>
                    <a:noFill/>
                    <a:ln w="9525">
                      <a:noFill/>
                      <a:miter lim="800000"/>
                      <a:headEnd/>
                      <a:tailEnd/>
                    </a:ln>
                  </pic:spPr>
                </pic:pic>
              </a:graphicData>
            </a:graphic>
          </wp:inline>
        </w:drawing>
      </w:r>
    </w:p>
    <w:p w:rsidR="00EB4608" w:rsidRDefault="00AB734A" w:rsidP="00D26C17">
      <w:pPr>
        <w:pStyle w:val="Graph"/>
      </w:pPr>
      <w:bookmarkStart w:id="11" w:name="_Ref446896191"/>
      <w:r>
        <w:t xml:space="preserve">Graphique </w:t>
      </w:r>
      <w:r>
        <w:fldChar w:fldCharType="begin"/>
      </w:r>
      <w:r>
        <w:instrText xml:space="preserve"> SEQ Graphique \* ARABIC </w:instrText>
      </w:r>
      <w:r>
        <w:fldChar w:fldCharType="separate"/>
      </w:r>
      <w:r w:rsidR="003F6757">
        <w:t>1</w:t>
      </w:r>
      <w:r>
        <w:fldChar w:fldCharType="end"/>
      </w:r>
      <w:bookmarkEnd w:id="11"/>
      <w:r>
        <w:t xml:space="preserve"> </w:t>
      </w:r>
      <w:r w:rsidRPr="00A50342">
        <w:t>Répartition des emplois salariés selon la taille de l'établissement dans le secteur conseil en systèmes et logiciels informatiques en France</w:t>
      </w:r>
    </w:p>
    <w:p w:rsidR="00501BB7" w:rsidRDefault="00AA03D8" w:rsidP="00501BB7">
      <w:pPr>
        <w:rPr>
          <w:rFonts w:ascii="Verdana" w:eastAsia="Verdana" w:hAnsi="Verdana" w:cs="Verdana"/>
        </w:rPr>
      </w:pPr>
      <w:r>
        <w:rPr>
          <w:rFonts w:ascii="Verdana" w:eastAsia="Verdana" w:hAnsi="Verdana" w:cs="Verdana"/>
        </w:rPr>
        <w:t xml:space="preserve">Le </w:t>
      </w:r>
      <w:r>
        <w:rPr>
          <w:rFonts w:ascii="Verdana" w:eastAsia="Verdana" w:hAnsi="Verdana" w:cs="Verdana"/>
        </w:rPr>
        <w:fldChar w:fldCharType="begin"/>
      </w:r>
      <w:r>
        <w:rPr>
          <w:rFonts w:ascii="Verdana" w:eastAsia="Verdana" w:hAnsi="Verdana" w:cs="Verdana"/>
        </w:rPr>
        <w:instrText xml:space="preserve"> REF _Ref446896191 \h </w:instrText>
      </w:r>
      <w:r>
        <w:rPr>
          <w:rFonts w:ascii="Verdana" w:eastAsia="Verdana" w:hAnsi="Verdana" w:cs="Verdana"/>
        </w:rPr>
      </w:r>
      <w:r>
        <w:rPr>
          <w:rFonts w:ascii="Verdana" w:eastAsia="Verdana" w:hAnsi="Verdana" w:cs="Verdana"/>
        </w:rPr>
        <w:fldChar w:fldCharType="separate"/>
      </w:r>
      <w:r w:rsidR="003F6757">
        <w:t xml:space="preserve">Graphique </w:t>
      </w:r>
      <w:r w:rsidR="003F6757">
        <w:rPr>
          <w:noProof/>
        </w:rPr>
        <w:t>1</w:t>
      </w:r>
      <w:r>
        <w:rPr>
          <w:rFonts w:ascii="Verdana" w:eastAsia="Verdana" w:hAnsi="Verdana" w:cs="Verdana"/>
        </w:rPr>
        <w:fldChar w:fldCharType="end"/>
      </w:r>
      <w:r>
        <w:rPr>
          <w:rFonts w:ascii="Verdana" w:eastAsia="Verdana" w:hAnsi="Verdana" w:cs="Verdana"/>
        </w:rPr>
        <w:t xml:space="preserve"> montre que s</w:t>
      </w:r>
      <w:r w:rsidR="00C60FE2" w:rsidRPr="0E10254F">
        <w:rPr>
          <w:rFonts w:ascii="Verdana" w:eastAsia="Verdana" w:hAnsi="Verdana" w:cs="Verdana"/>
        </w:rPr>
        <w:t xml:space="preserve">ur </w:t>
      </w:r>
      <w:r w:rsidR="008D3AF5">
        <w:rPr>
          <w:rFonts w:ascii="Verdana" w:eastAsia="Verdana" w:hAnsi="Verdana" w:cs="Verdana"/>
        </w:rPr>
        <w:t xml:space="preserve">les </w:t>
      </w:r>
      <w:r w:rsidR="00D5098C">
        <w:rPr>
          <w:rFonts w:ascii="Verdana" w:eastAsia="Verdana" w:hAnsi="Verdana" w:cs="Verdana"/>
        </w:rPr>
        <w:t>18 390</w:t>
      </w:r>
      <w:r w:rsidR="00B53BF3">
        <w:rPr>
          <w:rStyle w:val="FootnoteReference"/>
          <w:rFonts w:ascii="Verdana" w:eastAsia="Verdana" w:hAnsi="Verdana" w:cs="Verdana"/>
        </w:rPr>
        <w:footnoteReference w:id="2"/>
      </w:r>
      <w:r w:rsidR="00D5098C">
        <w:rPr>
          <w:rFonts w:ascii="Verdana" w:eastAsia="Verdana" w:hAnsi="Verdana" w:cs="Verdana"/>
        </w:rPr>
        <w:t xml:space="preserve"> entreprises actives du secteur conseil en systèmes et logiciels informatiques </w:t>
      </w:r>
      <w:r w:rsidR="00C60FE2" w:rsidRPr="0E10254F">
        <w:rPr>
          <w:rFonts w:ascii="Verdana" w:eastAsia="Verdana" w:hAnsi="Verdana" w:cs="Verdana"/>
        </w:rPr>
        <w:t xml:space="preserve">en </w:t>
      </w:r>
      <w:r w:rsidR="00D5098C">
        <w:rPr>
          <w:rFonts w:ascii="Verdana" w:eastAsia="Verdana" w:hAnsi="Verdana" w:cs="Verdana"/>
        </w:rPr>
        <w:t>France en 2014</w:t>
      </w:r>
      <w:r w:rsidR="00C60FE2" w:rsidRPr="0E10254F">
        <w:rPr>
          <w:rFonts w:ascii="Verdana" w:eastAsia="Verdana" w:hAnsi="Verdana" w:cs="Verdana"/>
        </w:rPr>
        <w:t xml:space="preserve">, </w:t>
      </w:r>
      <w:r w:rsidR="009A1327">
        <w:rPr>
          <w:rFonts w:ascii="Verdana" w:eastAsia="Verdana" w:hAnsi="Verdana" w:cs="Verdana"/>
        </w:rPr>
        <w:t>9</w:t>
      </w:r>
      <w:r w:rsidR="00D5098C">
        <w:rPr>
          <w:rFonts w:ascii="Verdana" w:eastAsia="Verdana" w:hAnsi="Verdana" w:cs="Verdana"/>
        </w:rPr>
        <w:t>1</w:t>
      </w:r>
      <w:r w:rsidR="00C60FE2" w:rsidRPr="0E10254F">
        <w:rPr>
          <w:rFonts w:ascii="Verdana" w:eastAsia="Verdana" w:hAnsi="Verdana" w:cs="Verdana"/>
        </w:rPr>
        <w:t xml:space="preserve"> % </w:t>
      </w:r>
      <w:r w:rsidR="009A1327">
        <w:rPr>
          <w:rFonts w:ascii="Verdana" w:eastAsia="Verdana" w:hAnsi="Verdana" w:cs="Verdana"/>
        </w:rPr>
        <w:t>ont entre 1 et 49 salariés et</w:t>
      </w:r>
      <w:r w:rsidR="00C60FE2" w:rsidRPr="0E10254F">
        <w:rPr>
          <w:rFonts w:ascii="Verdana" w:eastAsia="Verdana" w:hAnsi="Verdana" w:cs="Verdana"/>
        </w:rPr>
        <w:t xml:space="preserve"> emploient </w:t>
      </w:r>
      <w:r w:rsidR="009A1327">
        <w:rPr>
          <w:rFonts w:ascii="Verdana" w:eastAsia="Verdana" w:hAnsi="Verdana" w:cs="Verdana"/>
        </w:rPr>
        <w:t>14</w:t>
      </w:r>
      <w:r w:rsidR="00C60FE2" w:rsidRPr="0E10254F">
        <w:rPr>
          <w:rFonts w:ascii="Verdana" w:eastAsia="Verdana" w:hAnsi="Verdana" w:cs="Verdana"/>
        </w:rPr>
        <w:t>%</w:t>
      </w:r>
      <w:r w:rsidR="008D3AF5" w:rsidRPr="0E10254F">
        <w:rPr>
          <w:rFonts w:ascii="Verdana" w:eastAsia="Verdana" w:hAnsi="Verdana" w:cs="Verdana"/>
        </w:rPr>
        <w:t xml:space="preserve"> </w:t>
      </w:r>
      <w:r w:rsidR="00C60FE2" w:rsidRPr="0E10254F">
        <w:rPr>
          <w:rFonts w:ascii="Verdana" w:eastAsia="Verdana" w:hAnsi="Verdana" w:cs="Verdana"/>
        </w:rPr>
        <w:t xml:space="preserve">des </w:t>
      </w:r>
      <w:r w:rsidR="009A1327">
        <w:rPr>
          <w:rFonts w:ascii="Verdana" w:eastAsia="Verdana" w:hAnsi="Verdana" w:cs="Verdana"/>
        </w:rPr>
        <w:t>effectifs du secteur</w:t>
      </w:r>
      <w:r w:rsidR="00C60FE2" w:rsidRPr="0E10254F">
        <w:rPr>
          <w:rFonts w:ascii="Verdana" w:eastAsia="Verdana" w:hAnsi="Verdana" w:cs="Verdana"/>
        </w:rPr>
        <w:t xml:space="preserve">. </w:t>
      </w:r>
      <w:r w:rsidR="009A1327">
        <w:rPr>
          <w:rFonts w:ascii="Verdana" w:eastAsia="Verdana" w:hAnsi="Verdana" w:cs="Verdana"/>
        </w:rPr>
        <w:t>3,5</w:t>
      </w:r>
      <w:r w:rsidR="008D3AF5">
        <w:rPr>
          <w:rFonts w:ascii="Verdana" w:eastAsia="Verdana" w:hAnsi="Verdana" w:cs="Verdana"/>
        </w:rPr>
        <w:t xml:space="preserve">% des entreprises </w:t>
      </w:r>
      <w:r w:rsidR="009A1327">
        <w:rPr>
          <w:rFonts w:ascii="Verdana" w:eastAsia="Verdana" w:hAnsi="Verdana" w:cs="Verdana"/>
        </w:rPr>
        <w:t>ont entre 50 et 99 salariés et</w:t>
      </w:r>
      <w:r w:rsidR="008D3AF5">
        <w:rPr>
          <w:rFonts w:ascii="Verdana" w:eastAsia="Verdana" w:hAnsi="Verdana" w:cs="Verdana"/>
        </w:rPr>
        <w:t xml:space="preserve"> emploient </w:t>
      </w:r>
      <w:r w:rsidR="009A1327">
        <w:rPr>
          <w:rFonts w:ascii="Verdana" w:eastAsia="Verdana" w:hAnsi="Verdana" w:cs="Verdana"/>
        </w:rPr>
        <w:t>6</w:t>
      </w:r>
      <w:r w:rsidR="008D3AF5">
        <w:rPr>
          <w:rFonts w:ascii="Verdana" w:eastAsia="Verdana" w:hAnsi="Verdana" w:cs="Verdana"/>
        </w:rPr>
        <w:t xml:space="preserve">% des </w:t>
      </w:r>
      <w:r w:rsidR="009A1327">
        <w:rPr>
          <w:rFonts w:ascii="Verdana" w:eastAsia="Verdana" w:hAnsi="Verdana" w:cs="Verdana"/>
        </w:rPr>
        <w:t>effectifs du secteur</w:t>
      </w:r>
      <w:r w:rsidR="008D3AF5">
        <w:rPr>
          <w:rFonts w:ascii="Verdana" w:eastAsia="Verdana" w:hAnsi="Verdana" w:cs="Verdana"/>
        </w:rPr>
        <w:t xml:space="preserve">. </w:t>
      </w:r>
      <w:r w:rsidR="009A1327">
        <w:rPr>
          <w:rFonts w:ascii="Verdana" w:eastAsia="Verdana" w:hAnsi="Verdana" w:cs="Verdana"/>
        </w:rPr>
        <w:t>Seulement 0,1% ont plus de 5000 salariés mais emploient 28% de l’effectif du secteur.</w:t>
      </w:r>
      <w:r>
        <w:rPr>
          <w:rFonts w:ascii="Verdana" w:eastAsia="Verdana" w:hAnsi="Verdana" w:cs="Verdana"/>
        </w:rPr>
        <w:t xml:space="preserve"> </w:t>
      </w:r>
    </w:p>
    <w:p w:rsidR="00501BB7" w:rsidRDefault="00501BB7" w:rsidP="00501BB7">
      <w:pPr>
        <w:rPr>
          <w:rFonts w:ascii="Verdana" w:eastAsia="Verdana" w:hAnsi="Verdana" w:cs="Verdana"/>
        </w:rPr>
      </w:pPr>
      <w:r>
        <w:rPr>
          <w:rFonts w:ascii="Verdana" w:eastAsia="Verdana" w:hAnsi="Verdana" w:cs="Verdana"/>
        </w:rPr>
        <w:t xml:space="preserve">On constate d’après le </w:t>
      </w:r>
      <w:r>
        <w:rPr>
          <w:rFonts w:ascii="Verdana" w:eastAsia="Verdana" w:hAnsi="Verdana" w:cs="Verdana"/>
        </w:rPr>
        <w:fldChar w:fldCharType="begin"/>
      </w:r>
      <w:r>
        <w:rPr>
          <w:rFonts w:ascii="Verdana" w:eastAsia="Verdana" w:hAnsi="Verdana" w:cs="Verdana"/>
        </w:rPr>
        <w:instrText xml:space="preserve"> REF _Ref446904708 \h </w:instrText>
      </w:r>
      <w:r>
        <w:rPr>
          <w:rFonts w:ascii="Verdana" w:eastAsia="Verdana" w:hAnsi="Verdana" w:cs="Verdana"/>
        </w:rPr>
      </w:r>
      <w:r>
        <w:rPr>
          <w:rFonts w:ascii="Verdana" w:eastAsia="Verdana" w:hAnsi="Verdana" w:cs="Verdana"/>
        </w:rPr>
        <w:fldChar w:fldCharType="separate"/>
      </w:r>
      <w:r w:rsidR="003F6757">
        <w:t xml:space="preserve">Graphique </w:t>
      </w:r>
      <w:r w:rsidR="003F6757">
        <w:rPr>
          <w:noProof/>
        </w:rPr>
        <w:t>2</w:t>
      </w:r>
      <w:r>
        <w:rPr>
          <w:rFonts w:ascii="Verdana" w:eastAsia="Verdana" w:hAnsi="Verdana" w:cs="Verdana"/>
        </w:rPr>
        <w:fldChar w:fldCharType="end"/>
      </w:r>
      <w:r>
        <w:rPr>
          <w:rFonts w:ascii="Verdana" w:eastAsia="Verdana" w:hAnsi="Verdana" w:cs="Verdana"/>
        </w:rPr>
        <w:t xml:space="preserve"> qu’il n’y a que 50 entreprises qui dépassent 60 millions € d’actif et</w:t>
      </w:r>
      <w:r w:rsidR="00B53BF3">
        <w:rPr>
          <w:rFonts w:ascii="Verdana" w:eastAsia="Verdana" w:hAnsi="Verdana" w:cs="Verdana"/>
        </w:rPr>
        <w:t xml:space="preserve"> 70 millions € de CA</w:t>
      </w:r>
      <w:r>
        <w:rPr>
          <w:rFonts w:ascii="Verdana" w:eastAsia="Verdana" w:hAnsi="Verdana" w:cs="Verdana"/>
        </w:rPr>
        <w:t xml:space="preserve">. </w:t>
      </w:r>
    </w:p>
    <w:p w:rsidR="00AB734A" w:rsidRDefault="00B24C8F" w:rsidP="00041825">
      <w:pPr>
        <w:pStyle w:val="Graph"/>
      </w:pPr>
      <w:r w:rsidRPr="00B24C8F">
        <w:rPr>
          <w:rFonts w:eastAsia="Verdana"/>
        </w:rPr>
        <w:drawing>
          <wp:inline distT="0" distB="0" distL="0" distR="0" wp14:anchorId="454A37E5" wp14:editId="4B4F2009">
            <wp:extent cx="4017293" cy="2634377"/>
            <wp:effectExtent l="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033098" cy="2644742"/>
                    </a:xfrm>
                    <a:prstGeom prst="rect">
                      <a:avLst/>
                    </a:prstGeom>
                    <a:noFill/>
                    <a:ln w="9525">
                      <a:noFill/>
                      <a:miter lim="800000"/>
                      <a:headEnd/>
                      <a:tailEnd/>
                    </a:ln>
                  </pic:spPr>
                </pic:pic>
              </a:graphicData>
            </a:graphic>
          </wp:inline>
        </w:drawing>
      </w:r>
    </w:p>
    <w:p w:rsidR="00EB4608" w:rsidRDefault="00AB734A" w:rsidP="00D26C17">
      <w:pPr>
        <w:pStyle w:val="Graph"/>
      </w:pPr>
      <w:bookmarkStart w:id="12" w:name="_Ref446904708"/>
      <w:r>
        <w:t xml:space="preserve">Graphique </w:t>
      </w:r>
      <w:r>
        <w:fldChar w:fldCharType="begin"/>
      </w:r>
      <w:r>
        <w:instrText xml:space="preserve"> SEQ Graphique \* ARABIC </w:instrText>
      </w:r>
      <w:r>
        <w:fldChar w:fldCharType="separate"/>
      </w:r>
      <w:r w:rsidR="003F6757">
        <w:t>2</w:t>
      </w:r>
      <w:r>
        <w:fldChar w:fldCharType="end"/>
      </w:r>
      <w:bookmarkEnd w:id="12"/>
      <w:r>
        <w:t xml:space="preserve"> </w:t>
      </w:r>
      <w:r w:rsidRPr="00447A3E">
        <w:t>Top 100 des entreprises du secteur conseil en systèmes et logiciels informatiques par total du bilan et chiffre d'affaires</w:t>
      </w:r>
    </w:p>
    <w:p w:rsidR="00A270FC" w:rsidRDefault="00A270FC" w:rsidP="00C60FE2">
      <w:pPr>
        <w:rPr>
          <w:rFonts w:ascii="Verdana" w:eastAsia="Verdana" w:hAnsi="Verdana" w:cs="Verdana"/>
        </w:rPr>
      </w:pPr>
    </w:p>
    <w:p w:rsidR="00C60FE2" w:rsidRDefault="00C60FE2" w:rsidP="00C60FE2">
      <w:pPr>
        <w:pStyle w:val="Heading2"/>
      </w:pPr>
      <w:bookmarkStart w:id="13" w:name="_Toc446904684"/>
      <w:r>
        <w:lastRenderedPageBreak/>
        <w:t>Pénétration des entreprises étrangères</w:t>
      </w:r>
      <w:bookmarkEnd w:id="13"/>
      <w:r>
        <w:t xml:space="preserve">  </w:t>
      </w:r>
    </w:p>
    <w:p w:rsidR="00C60FE2" w:rsidRDefault="00070210" w:rsidP="00C60FE2">
      <w:r>
        <w:t xml:space="preserve">Les principales ESN étrangères présentes en France sont : </w:t>
      </w:r>
    </w:p>
    <w:p w:rsidR="00070210" w:rsidRDefault="00070210" w:rsidP="00070210">
      <w:pPr>
        <w:pStyle w:val="ListParagraph"/>
        <w:numPr>
          <w:ilvl w:val="0"/>
          <w:numId w:val="20"/>
        </w:numPr>
      </w:pPr>
      <w:r>
        <w:t xml:space="preserve">IBM (US) </w:t>
      </w:r>
    </w:p>
    <w:p w:rsidR="00070210" w:rsidRDefault="00070210" w:rsidP="00070210">
      <w:pPr>
        <w:pStyle w:val="ListParagraph"/>
        <w:numPr>
          <w:ilvl w:val="0"/>
          <w:numId w:val="20"/>
        </w:numPr>
      </w:pPr>
      <w:proofErr w:type="spellStart"/>
      <w:r>
        <w:t>Accenture</w:t>
      </w:r>
      <w:proofErr w:type="spellEnd"/>
      <w:r>
        <w:t xml:space="preserve"> (Irlande) </w:t>
      </w:r>
    </w:p>
    <w:p w:rsidR="00070210" w:rsidRDefault="00070210" w:rsidP="00070210">
      <w:pPr>
        <w:pStyle w:val="ListParagraph"/>
        <w:numPr>
          <w:ilvl w:val="0"/>
          <w:numId w:val="20"/>
        </w:numPr>
      </w:pPr>
      <w:r>
        <w:t xml:space="preserve">CGI (Canada) </w:t>
      </w:r>
    </w:p>
    <w:p w:rsidR="006F6076" w:rsidRDefault="006F6076" w:rsidP="00B53BF3">
      <w:r>
        <w:t>On met en évidence souvent la menace des ESN étrangères dans le secteur plus large des services informatique (en particulier dans la programmation et l’offshore) mais nous pensons que</w:t>
      </w:r>
      <w:r w:rsidR="00B53BF3">
        <w:t xml:space="preserve"> le cas particulier du</w:t>
      </w:r>
      <w:r>
        <w:t xml:space="preserve"> conseil nécessite une certaine proximité avec le client donc ce facteur est moins important dans notre cas. </w:t>
      </w:r>
    </w:p>
    <w:p w:rsidR="0005274C" w:rsidRDefault="0005274C" w:rsidP="00B53BF3">
      <w:r>
        <w:t xml:space="preserve">Généralement dans le secteur des TIC, les groupes étrangers emploient </w:t>
      </w:r>
      <w:r w:rsidR="00B53BF3">
        <w:t>1/3</w:t>
      </w:r>
      <w:r>
        <w:t xml:space="preserve"> des salariés des établissements des pôles de compétitivité contre </w:t>
      </w:r>
      <w:r w:rsidR="00B53BF3">
        <w:t>1/5</w:t>
      </w:r>
      <w:r>
        <w:t xml:space="preserve"> dans les autres secteurs. Nous n’avons pas plus de détails en particulier pour notre secteur. </w:t>
      </w:r>
    </w:p>
    <w:p w:rsidR="00C60FE2" w:rsidRDefault="00C60FE2" w:rsidP="00C60FE2">
      <w:pPr>
        <w:pStyle w:val="Heading2"/>
      </w:pPr>
      <w:bookmarkStart w:id="14" w:name="_Ref446900099"/>
      <w:bookmarkStart w:id="15" w:name="_Toc446904685"/>
      <w:r>
        <w:t>Les entreprises n’appartenant pas au secteur</w:t>
      </w:r>
      <w:bookmarkEnd w:id="14"/>
      <w:bookmarkEnd w:id="15"/>
      <w:r>
        <w:t xml:space="preserve">  </w:t>
      </w:r>
    </w:p>
    <w:p w:rsidR="00C60FE2" w:rsidRDefault="00063FDA" w:rsidP="00C60FE2">
      <w:r>
        <w:t>D’après notre intuition</w:t>
      </w:r>
      <w:r w:rsidR="009F380A">
        <w:rPr>
          <w:rStyle w:val="FootnoteReference"/>
        </w:rPr>
        <w:footnoteReference w:id="3"/>
      </w:r>
      <w:r>
        <w:t>, très peu d’entreprises n’appartenant pas au secteur</w:t>
      </w:r>
      <w:r w:rsidR="003673E1">
        <w:t xml:space="preserve"> 6202A</w:t>
      </w:r>
      <w:r w:rsidR="003673E1">
        <w:rPr>
          <w:rStyle w:val="FootnoteReference"/>
        </w:rPr>
        <w:footnoteReference w:id="4"/>
      </w:r>
      <w:r>
        <w:t xml:space="preserve"> </w:t>
      </w:r>
      <w:r w:rsidR="00D86FE4">
        <w:t>et qui font des activités de conseil en systèmes et logiciels informatiques car comme nous l’avons vu dans la première fiche, ces activités de conseil représentent près de 50% de toutes les activités du service informatique. Cela veut dire que si une ESN</w:t>
      </w:r>
      <w:r w:rsidR="00D86FE4">
        <w:rPr>
          <w:rStyle w:val="FootnoteReference"/>
        </w:rPr>
        <w:footnoteReference w:id="5"/>
      </w:r>
      <w:r w:rsidR="00D86FE4">
        <w:t xml:space="preserve"> fait du conseil, alors cette activité serait </w:t>
      </w:r>
      <w:r w:rsidR="009F380A">
        <w:t xml:space="preserve">probablement </w:t>
      </w:r>
      <w:r w:rsidR="00D86FE4">
        <w:t xml:space="preserve">son activité principale. </w:t>
      </w:r>
    </w:p>
    <w:p w:rsidR="00762F62" w:rsidRDefault="00D86FE4" w:rsidP="00987FF5">
      <w:r>
        <w:t>C’est plutôt l’inverse qui se passe</w:t>
      </w:r>
      <w:r w:rsidR="00EC3E35">
        <w:t>rait</w:t>
      </w:r>
      <w:r>
        <w:t>, c'est-à-dire que ce sont les entreprises d</w:t>
      </w:r>
      <w:r w:rsidR="003673E1">
        <w:t>u</w:t>
      </w:r>
      <w:r>
        <w:t xml:space="preserve"> secteur </w:t>
      </w:r>
      <w:r w:rsidR="003673E1">
        <w:t xml:space="preserve">6202A qui font aussi des activités des autres secteurs en forte synergie avec le conseil c'est-à-dire dans les secteurs </w:t>
      </w:r>
      <w:r w:rsidR="004458F2">
        <w:t>« </w:t>
      </w:r>
      <w:r w:rsidR="003673E1">
        <w:t>6202B tierce maintenance de systèmes et d'applications informatiques</w:t>
      </w:r>
      <w:r w:rsidR="004458F2">
        <w:t> »</w:t>
      </w:r>
      <w:r w:rsidR="003673E1">
        <w:t xml:space="preserve">, </w:t>
      </w:r>
      <w:r w:rsidR="004458F2">
        <w:t>« </w:t>
      </w:r>
      <w:r w:rsidR="003673E1">
        <w:t>6201 programmation informatique</w:t>
      </w:r>
      <w:r w:rsidR="004458F2">
        <w:t> »</w:t>
      </w:r>
      <w:r w:rsidR="003673E1">
        <w:t xml:space="preserve"> et </w:t>
      </w:r>
      <w:r w:rsidR="004458F2">
        <w:t>« </w:t>
      </w:r>
      <w:r w:rsidR="003673E1">
        <w:t>6203Z gestion d'installations informatiques</w:t>
      </w:r>
      <w:r w:rsidR="004458F2">
        <w:t> »</w:t>
      </w:r>
      <w:r w:rsidR="003673E1">
        <w:t>. Généralement ce sont les plus grandes entreprises qui se diversifient de cette manière</w:t>
      </w:r>
      <w:r w:rsidR="00762F62">
        <w:rPr>
          <w:rStyle w:val="FootnoteReference"/>
        </w:rPr>
        <w:footnoteReference w:id="6"/>
      </w:r>
      <w:r w:rsidR="003673E1">
        <w:t>. En effet, plus l’entreprise est de petite taille, plus elle a tendance à se centrer sur son activité principale</w:t>
      </w:r>
      <w:r w:rsidR="00762F62">
        <w:rPr>
          <w:rStyle w:val="FootnoteReference"/>
        </w:rPr>
        <w:footnoteReference w:id="7"/>
      </w:r>
      <w:r w:rsidR="003673E1">
        <w:t xml:space="preserve">. </w:t>
      </w:r>
    </w:p>
    <w:p w:rsidR="00611380" w:rsidRDefault="00611380" w:rsidP="003D408C">
      <w:r>
        <w:t>On peut noter quand même qu</w:t>
      </w:r>
      <w:r w:rsidR="003D408C">
        <w:t>e les éditeurs de logiciels</w:t>
      </w:r>
      <w:r w:rsidR="004458F2">
        <w:t xml:space="preserve"> (Code NAF 5829)</w:t>
      </w:r>
      <w:r w:rsidR="003D408C">
        <w:t xml:space="preserve"> se lancent souvent dans le conseil pour promouvoir leurs progiciels. </w:t>
      </w:r>
    </w:p>
    <w:p w:rsidR="003673E1" w:rsidRDefault="003673E1" w:rsidP="003673E1"/>
    <w:p w:rsidR="00C60FE2" w:rsidRDefault="00C60FE2" w:rsidP="00CB594F">
      <w:pPr>
        <w:pStyle w:val="Heading2"/>
      </w:pPr>
      <w:bookmarkStart w:id="16" w:name="_Toc446904686"/>
      <w:r>
        <w:t>Les objectifs</w:t>
      </w:r>
      <w:r w:rsidR="00762F62">
        <w:t>,</w:t>
      </w:r>
      <w:r>
        <w:t xml:space="preserve"> les représentations</w:t>
      </w:r>
      <w:r w:rsidR="00762F62">
        <w:t xml:space="preserve"> et la culture sectorielle</w:t>
      </w:r>
      <w:bookmarkEnd w:id="16"/>
      <w:r w:rsidR="00CB594F">
        <w:t xml:space="preserve"> </w:t>
      </w:r>
    </w:p>
    <w:p w:rsidR="00501BB7" w:rsidRDefault="00762F62" w:rsidP="00987FF5">
      <w:r>
        <w:t>Nous n’avons pas encore lu assez de littérature sur ce secteur pour pouvoir dire des choses pertinentes sur ces points mais nous somm</w:t>
      </w:r>
      <w:r w:rsidR="00987FF5">
        <w:t>es</w:t>
      </w:r>
      <w:r>
        <w:t xml:space="preserve"> bien conscient</w:t>
      </w:r>
      <w:r w:rsidR="00987FF5">
        <w:t>s</w:t>
      </w:r>
      <w:r>
        <w:t xml:space="preserve"> de leur importance dans l’analyse de la structure et du secteur. Nous savons pour l’instant que plus de 80% de l’effectif de ce secteur sont des ingénieurs et des cadres et cela peut influencer fortement la culture du secteur. </w:t>
      </w:r>
    </w:p>
    <w:p w:rsidR="00501BB7" w:rsidRDefault="00501BB7" w:rsidP="00266F27">
      <w:r>
        <w:t>Nous avons commencé à analyser les « </w:t>
      </w:r>
      <w:r w:rsidRPr="00501BB7">
        <w:rPr>
          <w:i/>
          <w:iCs/>
        </w:rPr>
        <w:t xml:space="preserve">missions </w:t>
      </w:r>
      <w:proofErr w:type="spellStart"/>
      <w:r w:rsidRPr="00501BB7">
        <w:rPr>
          <w:i/>
          <w:iCs/>
        </w:rPr>
        <w:t>statement</w:t>
      </w:r>
      <w:proofErr w:type="spellEnd"/>
      <w:r>
        <w:t xml:space="preserve"> » qui pourrait donner des indices sur les objectifs. </w:t>
      </w:r>
      <w:r w:rsidR="00266F27">
        <w:t>Les techniques de SNA (</w:t>
      </w:r>
      <w:r w:rsidR="00266F27" w:rsidRPr="00266F27">
        <w:rPr>
          <w:i/>
          <w:iCs/>
        </w:rPr>
        <w:t xml:space="preserve">Social Network </w:t>
      </w:r>
      <w:proofErr w:type="spellStart"/>
      <w:r w:rsidR="00266F27" w:rsidRPr="00266F27">
        <w:rPr>
          <w:i/>
          <w:iCs/>
        </w:rPr>
        <w:t>Analysis</w:t>
      </w:r>
      <w:proofErr w:type="spellEnd"/>
      <w:r w:rsidR="00266F27">
        <w:t>) pourraient aider à analyser les liens</w:t>
      </w:r>
      <w:r>
        <w:t xml:space="preserve"> </w:t>
      </w:r>
      <w:r w:rsidR="00266F27">
        <w:t>entre les dirigeants, les investisseurs et les autres parties prenantes pour comprendre les représentations et les « </w:t>
      </w:r>
      <w:r w:rsidR="00266F27" w:rsidRPr="00266F27">
        <w:t xml:space="preserve">mental </w:t>
      </w:r>
      <w:proofErr w:type="spellStart"/>
      <w:r w:rsidR="00266F27" w:rsidRPr="00266F27">
        <w:t>models</w:t>
      </w:r>
      <w:proofErr w:type="spellEnd"/>
      <w:r w:rsidR="00266F27">
        <w:t xml:space="preserve"> » des acteurs de ce secteur. L’application de ces techniques nécessite plus de temps et de données. </w:t>
      </w:r>
    </w:p>
    <w:p w:rsidR="00C60FE2" w:rsidRDefault="00762F62" w:rsidP="00987FF5">
      <w:r>
        <w:t xml:space="preserve">Nous reviendrons sur ce point plus tard dans les prochaines fiches. </w:t>
      </w:r>
    </w:p>
    <w:p w:rsidR="00C60FE2" w:rsidRDefault="00C60FE2" w:rsidP="00C60FE2"/>
    <w:p w:rsidR="00C60FE2" w:rsidRDefault="00C60FE2" w:rsidP="00C60FE2">
      <w:pPr>
        <w:pStyle w:val="Heading1"/>
      </w:pPr>
      <w:bookmarkStart w:id="17" w:name="_Toc446904687"/>
      <w:r>
        <w:lastRenderedPageBreak/>
        <w:t>Démographie du secteur</w:t>
      </w:r>
      <w:bookmarkEnd w:id="17"/>
    </w:p>
    <w:p w:rsidR="00C60FE2" w:rsidRDefault="00C60FE2" w:rsidP="00C60FE2">
      <w:pPr>
        <w:pStyle w:val="Heading2"/>
      </w:pPr>
      <w:bookmarkStart w:id="18" w:name="_Toc446682345"/>
      <w:bookmarkStart w:id="19" w:name="_Toc446904688"/>
      <w:r>
        <w:t>Les entrées / sorties</w:t>
      </w:r>
      <w:bookmarkEnd w:id="18"/>
      <w:bookmarkEnd w:id="19"/>
    </w:p>
    <w:p w:rsidR="00AB734A" w:rsidRDefault="00CA5373" w:rsidP="00D26C17">
      <w:pPr>
        <w:pStyle w:val="Graph"/>
      </w:pPr>
      <w:r w:rsidRPr="00CA5373">
        <w:drawing>
          <wp:inline distT="0" distB="0" distL="0" distR="0" wp14:anchorId="358CDCED" wp14:editId="780439E6">
            <wp:extent cx="3679269" cy="2406341"/>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720351" cy="2433210"/>
                    </a:xfrm>
                    <a:prstGeom prst="rect">
                      <a:avLst/>
                    </a:prstGeom>
                  </pic:spPr>
                </pic:pic>
              </a:graphicData>
            </a:graphic>
          </wp:inline>
        </w:drawing>
      </w:r>
    </w:p>
    <w:p w:rsidR="00EB4608" w:rsidRDefault="00AB734A" w:rsidP="00D26C17">
      <w:pPr>
        <w:pStyle w:val="Graph"/>
      </w:pPr>
      <w:bookmarkStart w:id="20" w:name="_Ref446899307"/>
      <w:r>
        <w:t xml:space="preserve">Graphique </w:t>
      </w:r>
      <w:r>
        <w:fldChar w:fldCharType="begin"/>
      </w:r>
      <w:r>
        <w:instrText xml:space="preserve"> SEQ Graphique \* ARABIC </w:instrText>
      </w:r>
      <w:r>
        <w:fldChar w:fldCharType="separate"/>
      </w:r>
      <w:r w:rsidR="003F6757">
        <w:t>3</w:t>
      </w:r>
      <w:r>
        <w:fldChar w:fldCharType="end"/>
      </w:r>
      <w:bookmarkEnd w:id="20"/>
      <w:r>
        <w:t xml:space="preserve"> </w:t>
      </w:r>
      <w:r w:rsidRPr="00FC60D6">
        <w:t>Evolution du stock des entreprises du secteur conseil en systèmes et logiciels informatique depuis 1990 en France</w:t>
      </w:r>
    </w:p>
    <w:p w:rsidR="00611380" w:rsidRDefault="00611380" w:rsidP="00611380">
      <w:r>
        <w:t xml:space="preserve">Il y a plusieurs formes d’entrées sur ce marché. La création ex nihilo est la majeure forme puisque ce secteur se caractérise par une part importante de consultants indépendants qui se lancent dans le conseil en informatique en se mettant à leur propre compte. Cette catégorie regroupe aussi bien des consultants expérimentés que des juniors. L’activité cesse soit par départ à la retraite soit par l’acceptation d’un poste dans une ESN ou chez un client. </w:t>
      </w:r>
    </w:p>
    <w:p w:rsidR="00611380" w:rsidRDefault="00611380" w:rsidP="00611380">
      <w:r>
        <w:t xml:space="preserve">La création peut se faire aussi sous la forme par une nouvelle filiale d’une multinationale.  </w:t>
      </w:r>
    </w:p>
    <w:p w:rsidR="00BB0D37" w:rsidRDefault="00BB0D37" w:rsidP="00C60FE2">
      <w:r>
        <w:t xml:space="preserve">Nous n’avons </w:t>
      </w:r>
      <w:r w:rsidR="00257B77">
        <w:t xml:space="preserve">pas </w:t>
      </w:r>
      <w:r>
        <w:t xml:space="preserve">des informations précises sur la défaillance des entreprises dans le secteur mais nous avons essayé de l’estimer en considérant qu’une entreprise </w:t>
      </w:r>
      <w:r w:rsidR="00257B77">
        <w:t>n’</w:t>
      </w:r>
      <w:r w:rsidR="00987FF5">
        <w:t>est plus dans le secteur si son</w:t>
      </w:r>
      <w:r w:rsidR="00257B77">
        <w:t xml:space="preserve"> statut juridique est « non actif », qu’elle a eu une p</w:t>
      </w:r>
      <w:r w:rsidR="00257B77" w:rsidRPr="00257B77">
        <w:t>rocédure collective</w:t>
      </w:r>
      <w:r w:rsidR="00257B77">
        <w:t xml:space="preserve"> au cours de sa vie et que la d</w:t>
      </w:r>
      <w:r w:rsidR="00257B77" w:rsidRPr="00257B77">
        <w:t>ate de jugement</w:t>
      </w:r>
      <w:r w:rsidR="00257B77">
        <w:t xml:space="preserve"> est renseignée dans la base Diane. </w:t>
      </w:r>
    </w:p>
    <w:p w:rsidR="00CA5373" w:rsidRDefault="00390701" w:rsidP="004458F2">
      <w:r>
        <w:t>Comme le montre le</w:t>
      </w:r>
      <w:r w:rsidR="004458F2">
        <w:t xml:space="preserve"> </w:t>
      </w:r>
      <w:r w:rsidR="004458F2">
        <w:fldChar w:fldCharType="begin"/>
      </w:r>
      <w:r w:rsidR="004458F2">
        <w:instrText xml:space="preserve"> REF _Ref446899307 \h </w:instrText>
      </w:r>
      <w:r w:rsidR="004458F2">
        <w:fldChar w:fldCharType="separate"/>
      </w:r>
      <w:r w:rsidR="003F6757">
        <w:t xml:space="preserve">Graphique </w:t>
      </w:r>
      <w:r w:rsidR="003F6757">
        <w:rPr>
          <w:noProof/>
        </w:rPr>
        <w:t>3</w:t>
      </w:r>
      <w:r w:rsidR="004458F2">
        <w:fldChar w:fldCharType="end"/>
      </w:r>
      <w:r>
        <w:t xml:space="preserve">, il y a beaucoup d’entrées dans le secteur 6202A. Le stock des entreprises actives (courbe en vert) augmente fortement jusqu’à un point d’inflexion en 2011 avec un faible taux de défaillance. La croissance du stock diminue </w:t>
      </w:r>
      <w:r w:rsidR="00BB0D37">
        <w:t>à partir de 2012 où le taux de défaillance estimé commence à augmenter</w:t>
      </w:r>
      <w:r w:rsidR="00EF74AE">
        <w:rPr>
          <w:rStyle w:val="FootnoteReference"/>
        </w:rPr>
        <w:footnoteReference w:id="8"/>
      </w:r>
      <w:r w:rsidR="00BB0D37">
        <w:t xml:space="preserve">. </w:t>
      </w:r>
    </w:p>
    <w:p w:rsidR="00C60FE2" w:rsidRDefault="00C60FE2" w:rsidP="00C60FE2">
      <w:pPr>
        <w:pStyle w:val="Heading2"/>
      </w:pPr>
      <w:bookmarkStart w:id="21" w:name="_Toc446682346"/>
      <w:bookmarkStart w:id="22" w:name="_Toc446904689"/>
      <w:r>
        <w:t>L’âge des entreprises</w:t>
      </w:r>
      <w:bookmarkEnd w:id="21"/>
      <w:bookmarkEnd w:id="22"/>
    </w:p>
    <w:p w:rsidR="00AB734A" w:rsidRDefault="00155A75" w:rsidP="00D26C17">
      <w:pPr>
        <w:pStyle w:val="Graph"/>
      </w:pPr>
      <w:r>
        <w:drawing>
          <wp:inline distT="0" distB="0" distL="0" distR="0" wp14:anchorId="552E2989" wp14:editId="66FC45B5">
            <wp:extent cx="2846567" cy="18671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885549" cy="1892715"/>
                    </a:xfrm>
                    <a:prstGeom prst="rect">
                      <a:avLst/>
                    </a:prstGeom>
                    <a:noFill/>
                    <a:ln w="9525">
                      <a:noFill/>
                      <a:miter lim="800000"/>
                      <a:headEnd/>
                      <a:tailEnd/>
                    </a:ln>
                  </pic:spPr>
                </pic:pic>
              </a:graphicData>
            </a:graphic>
          </wp:inline>
        </w:drawing>
      </w:r>
    </w:p>
    <w:p w:rsidR="00EB4608" w:rsidRDefault="00AB734A" w:rsidP="00D26C17">
      <w:pPr>
        <w:pStyle w:val="Graph"/>
      </w:pPr>
      <w:r>
        <w:t xml:space="preserve">Graphique </w:t>
      </w:r>
      <w:r>
        <w:fldChar w:fldCharType="begin"/>
      </w:r>
      <w:r>
        <w:instrText xml:space="preserve"> SEQ Graphique \* ARABIC </w:instrText>
      </w:r>
      <w:r>
        <w:fldChar w:fldCharType="separate"/>
      </w:r>
      <w:r w:rsidR="003F6757">
        <w:t>4</w:t>
      </w:r>
      <w:r>
        <w:fldChar w:fldCharType="end"/>
      </w:r>
      <w:r>
        <w:t xml:space="preserve"> </w:t>
      </w:r>
      <w:r w:rsidRPr="00D21946">
        <w:t>Pyramide des âges par taille et par forme juridique des entreprises actifs du secteur conseil en systèmes et logiciels informatiques en 2014 en France</w:t>
      </w:r>
    </w:p>
    <w:p w:rsidR="001A20B9" w:rsidRDefault="001A20B9" w:rsidP="00EF74AE">
      <w:r>
        <w:lastRenderedPageBreak/>
        <w:t>La pyramide des âges des entreprises avec notre présentation devrait être parfaitement symétrique car nous représentons à droite une classification par forme juridique et à gauche une classification par tranche d’effectif. Ce n’était pas le cas à cause de la qualité des données utilisées. En effet, souvent il manque des informations sur les effectifs</w:t>
      </w:r>
      <w:r w:rsidR="00EF74AE">
        <w:t xml:space="preserve"> des plus petites entreprises</w:t>
      </w:r>
      <w:r>
        <w:t xml:space="preserve">. Pour corriger cela nous devons utiliser une autre colonne de la base Diane que nous n’avons pas considéré jusqu’à maintenant. Cela sera corrigé </w:t>
      </w:r>
      <w:r w:rsidR="00F81C6D">
        <w:t>prochainement</w:t>
      </w:r>
      <w:r>
        <w:t xml:space="preserve">.  </w:t>
      </w:r>
    </w:p>
    <w:p w:rsidR="00C60FE2" w:rsidRDefault="00C60FE2" w:rsidP="00C60FE2">
      <w:pPr>
        <w:pStyle w:val="Heading2"/>
      </w:pPr>
      <w:bookmarkStart w:id="23" w:name="_Toc446682347"/>
      <w:bookmarkStart w:id="24" w:name="_Toc446904690"/>
      <w:r>
        <w:t>Les fusions-acquisitions</w:t>
      </w:r>
      <w:bookmarkEnd w:id="23"/>
      <w:bookmarkEnd w:id="24"/>
    </w:p>
    <w:p w:rsidR="00AB734A" w:rsidRDefault="00CA5373" w:rsidP="00D26C17">
      <w:pPr>
        <w:pStyle w:val="Graph"/>
      </w:pPr>
      <w:r w:rsidRPr="00CA5373">
        <w:drawing>
          <wp:inline distT="0" distB="0" distL="0" distR="0" wp14:anchorId="770B21E5" wp14:editId="012032AD">
            <wp:extent cx="3609930" cy="2367453"/>
            <wp:effectExtent l="0" t="0" r="0" b="0"/>
            <wp:docPr id="5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3643849" cy="2389697"/>
                    </a:xfrm>
                    <a:prstGeom prst="rect">
                      <a:avLst/>
                    </a:prstGeom>
                    <a:noFill/>
                    <a:ln w="9525">
                      <a:noFill/>
                      <a:miter lim="800000"/>
                      <a:headEnd/>
                      <a:tailEnd/>
                    </a:ln>
                  </pic:spPr>
                </pic:pic>
              </a:graphicData>
            </a:graphic>
          </wp:inline>
        </w:drawing>
      </w:r>
    </w:p>
    <w:p w:rsidR="00C25DAB" w:rsidRDefault="00AB734A" w:rsidP="00D26C17">
      <w:pPr>
        <w:pStyle w:val="Graph"/>
      </w:pPr>
      <w:bookmarkStart w:id="25" w:name="_Ref446900918"/>
      <w:r>
        <w:t xml:space="preserve">Graphique </w:t>
      </w:r>
      <w:r>
        <w:fldChar w:fldCharType="begin"/>
      </w:r>
      <w:r>
        <w:instrText xml:space="preserve"> SEQ Graphique \* ARABIC </w:instrText>
      </w:r>
      <w:r>
        <w:fldChar w:fldCharType="separate"/>
      </w:r>
      <w:r w:rsidR="003F6757">
        <w:t>5</w:t>
      </w:r>
      <w:r>
        <w:fldChar w:fldCharType="end"/>
      </w:r>
      <w:bookmarkEnd w:id="25"/>
      <w:r>
        <w:t xml:space="preserve"> </w:t>
      </w:r>
      <w:r w:rsidRPr="007A6E22">
        <w:t>Opérations de fusions-acquisition en volume et en valeur dans les secteurs des services informatiques en France</w:t>
      </w:r>
    </w:p>
    <w:p w:rsidR="00C25DAB" w:rsidRDefault="00E57F43" w:rsidP="00C25DAB">
      <w:pPr>
        <w:ind w:left="0"/>
      </w:pPr>
      <w:r>
        <w:t>Le baromètre IT annuel d’APM</w:t>
      </w:r>
      <w:r>
        <w:rPr>
          <w:rStyle w:val="FootnoteReference"/>
        </w:rPr>
        <w:footnoteReference w:id="9"/>
      </w:r>
      <w:r>
        <w:t xml:space="preserve"> résume les opérations de consolidation des secteurs des TI.</w:t>
      </w:r>
      <w:r w:rsidR="00C25DAB">
        <w:t xml:space="preserve"> Cette tendance concerne toutes les tailles d’entreprises. Les opérations remarquables en 2014 sont la fusion entre </w:t>
      </w:r>
      <w:proofErr w:type="spellStart"/>
      <w:r w:rsidR="00C25DAB">
        <w:t>Stéria</w:t>
      </w:r>
      <w:proofErr w:type="spellEnd"/>
      <w:r w:rsidR="00C25DAB">
        <w:t xml:space="preserve"> et </w:t>
      </w:r>
      <w:proofErr w:type="spellStart"/>
      <w:r w:rsidR="00C25DAB">
        <w:t>Sopra</w:t>
      </w:r>
      <w:proofErr w:type="spellEnd"/>
      <w:r w:rsidR="00C25DAB">
        <w:t>, l’acquisition de Bull par Atos, l’acquisition d’</w:t>
      </w:r>
      <w:proofErr w:type="spellStart"/>
      <w:r w:rsidR="00C25DAB">
        <w:t>Euriware</w:t>
      </w:r>
      <w:proofErr w:type="spellEnd"/>
      <w:r w:rsidR="00C25DAB">
        <w:t xml:space="preserve"> par </w:t>
      </w:r>
      <w:proofErr w:type="spellStart"/>
      <w:r w:rsidR="00C25DAB">
        <w:t>Capgemini</w:t>
      </w:r>
      <w:proofErr w:type="spellEnd"/>
      <w:r w:rsidR="00C25DAB">
        <w:t>.</w:t>
      </w:r>
    </w:p>
    <w:p w:rsidR="00EF74AE" w:rsidRDefault="00C25DAB" w:rsidP="00EF74AE">
      <w:pPr>
        <w:ind w:left="0"/>
      </w:pPr>
      <w:r w:rsidRPr="00EF74AE">
        <w:t xml:space="preserve">Le </w:t>
      </w:r>
      <w:r w:rsidR="00EF74AE">
        <w:rPr>
          <w:lang w:val="en-US"/>
        </w:rPr>
        <w:fldChar w:fldCharType="begin"/>
      </w:r>
      <w:r w:rsidR="00EF74AE" w:rsidRPr="00EF74AE">
        <w:instrText xml:space="preserve"> REF _Ref446900918 \h </w:instrText>
      </w:r>
      <w:r w:rsidR="00EF74AE">
        <w:rPr>
          <w:lang w:val="en-US"/>
        </w:rPr>
      </w:r>
      <w:r w:rsidR="00EF74AE">
        <w:rPr>
          <w:lang w:val="en-US"/>
        </w:rPr>
        <w:fldChar w:fldCharType="separate"/>
      </w:r>
      <w:r w:rsidR="003F6757">
        <w:t xml:space="preserve">Graphique </w:t>
      </w:r>
      <w:r w:rsidR="003F6757">
        <w:rPr>
          <w:noProof/>
        </w:rPr>
        <w:t>5</w:t>
      </w:r>
      <w:r w:rsidR="00EF74AE">
        <w:rPr>
          <w:lang w:val="en-US"/>
        </w:rPr>
        <w:fldChar w:fldCharType="end"/>
      </w:r>
      <w:r w:rsidR="00EF74AE" w:rsidRPr="00EF74AE">
        <w:t xml:space="preserve"> </w:t>
      </w:r>
      <w:r>
        <w:t>montre l’évolution de ces opérations en volume et en valeur. En moyenne</w:t>
      </w:r>
      <w:r w:rsidR="00AB734A">
        <w:t>,</w:t>
      </w:r>
      <w:r>
        <w:t xml:space="preserve"> sur la période entre 2006 et 2014, le nombre des opération</w:t>
      </w:r>
      <w:r w:rsidR="00AB734A">
        <w:t>s</w:t>
      </w:r>
      <w:r>
        <w:t xml:space="preserve"> est </w:t>
      </w:r>
      <w:r w:rsidR="00AB734A">
        <w:t xml:space="preserve">stable mais on constate que la valeur de ces opérations a fortement augmenté en 2014. Les </w:t>
      </w:r>
      <w:r w:rsidR="00AB734A">
        <w:fldChar w:fldCharType="begin"/>
      </w:r>
      <w:r w:rsidR="00AB734A">
        <w:instrText xml:space="preserve"> REF _Ref446894846 \h </w:instrText>
      </w:r>
      <w:r w:rsidR="00AB734A">
        <w:fldChar w:fldCharType="separate"/>
      </w:r>
      <w:r w:rsidR="003F6757" w:rsidRPr="00041825">
        <w:t xml:space="preserve">Graphique </w:t>
      </w:r>
      <w:r w:rsidR="003F6757">
        <w:rPr>
          <w:noProof/>
        </w:rPr>
        <w:t>10</w:t>
      </w:r>
      <w:r w:rsidR="00AB734A">
        <w:fldChar w:fldCharType="end"/>
      </w:r>
      <w:r w:rsidR="00AB734A">
        <w:t xml:space="preserve"> et </w:t>
      </w:r>
      <w:r w:rsidR="00AB734A">
        <w:fldChar w:fldCharType="begin"/>
      </w:r>
      <w:r w:rsidR="00AB734A">
        <w:instrText xml:space="preserve"> REF _Ref446894851 \h </w:instrText>
      </w:r>
      <w:r w:rsidR="00AB734A">
        <w:fldChar w:fldCharType="separate"/>
      </w:r>
      <w:r w:rsidR="003F6757" w:rsidRPr="00041825">
        <w:t xml:space="preserve">Graphique </w:t>
      </w:r>
      <w:r w:rsidR="003F6757">
        <w:rPr>
          <w:noProof/>
        </w:rPr>
        <w:t>11</w:t>
      </w:r>
      <w:r w:rsidR="00AB734A">
        <w:fldChar w:fldCharType="end"/>
      </w:r>
      <w:r w:rsidR="00AB734A">
        <w:t xml:space="preserve"> en </w:t>
      </w:r>
      <w:r w:rsidR="00AB734A">
        <w:fldChar w:fldCharType="begin"/>
      </w:r>
      <w:r w:rsidR="00AB734A">
        <w:instrText xml:space="preserve"> REF _Ref446894877 \h </w:instrText>
      </w:r>
      <w:r w:rsidR="00AB734A">
        <w:fldChar w:fldCharType="separate"/>
      </w:r>
      <w:r w:rsidR="003F6757">
        <w:t>Annexes</w:t>
      </w:r>
      <w:r w:rsidR="00AB734A">
        <w:fldChar w:fldCharType="end"/>
      </w:r>
      <w:r w:rsidR="00AB734A">
        <w:t xml:space="preserve"> montrent plus de détails sur les catégories de ces opérations de fusions et acquisition</w:t>
      </w:r>
      <w:r w:rsidR="00EF74AE">
        <w:t>.</w:t>
      </w:r>
      <w:r w:rsidR="00AB734A">
        <w:t xml:space="preserve"> </w:t>
      </w:r>
    </w:p>
    <w:p w:rsidR="00EF74AE" w:rsidRDefault="00EF74AE">
      <w:pPr>
        <w:spacing w:before="0" w:after="0"/>
        <w:ind w:left="0"/>
        <w:jc w:val="left"/>
      </w:pPr>
      <w:r>
        <w:br w:type="page"/>
      </w:r>
    </w:p>
    <w:p w:rsidR="00C60FE2" w:rsidRDefault="00C60FE2" w:rsidP="00C60FE2">
      <w:pPr>
        <w:pStyle w:val="Heading2"/>
      </w:pPr>
      <w:bookmarkStart w:id="26" w:name="_Toc446682348"/>
      <w:bookmarkStart w:id="27" w:name="_Toc446904691"/>
      <w:r>
        <w:lastRenderedPageBreak/>
        <w:t>La localisation géographique</w:t>
      </w:r>
      <w:bookmarkEnd w:id="26"/>
      <w:bookmarkEnd w:id="27"/>
    </w:p>
    <w:p w:rsidR="00AB734A" w:rsidRDefault="00CA5373" w:rsidP="00D26C17">
      <w:pPr>
        <w:pStyle w:val="Graph"/>
      </w:pPr>
      <w:r>
        <w:drawing>
          <wp:inline distT="0" distB="0" distL="0" distR="0" wp14:anchorId="4B44BA4A" wp14:editId="26AB7F81">
            <wp:extent cx="5945513" cy="3896436"/>
            <wp:effectExtent l="0" t="0" r="0"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085345" cy="3988076"/>
                    </a:xfrm>
                    <a:prstGeom prst="rect">
                      <a:avLst/>
                    </a:prstGeom>
                    <a:noFill/>
                    <a:ln w="9525">
                      <a:noFill/>
                      <a:miter lim="800000"/>
                      <a:headEnd/>
                      <a:tailEnd/>
                    </a:ln>
                  </pic:spPr>
                </pic:pic>
              </a:graphicData>
            </a:graphic>
          </wp:inline>
        </w:drawing>
      </w:r>
    </w:p>
    <w:p w:rsidR="00EB4608" w:rsidRDefault="00AB734A" w:rsidP="00D26C17">
      <w:pPr>
        <w:pStyle w:val="Graph"/>
      </w:pPr>
      <w:r>
        <w:t xml:space="preserve">Graphique </w:t>
      </w:r>
      <w:r>
        <w:fldChar w:fldCharType="begin"/>
      </w:r>
      <w:r>
        <w:instrText xml:space="preserve"> SEQ Graphique \* ARABIC </w:instrText>
      </w:r>
      <w:r>
        <w:fldChar w:fldCharType="separate"/>
      </w:r>
      <w:r w:rsidR="003F6757">
        <w:t>6</w:t>
      </w:r>
      <w:r>
        <w:fldChar w:fldCharType="end"/>
      </w:r>
      <w:r>
        <w:t xml:space="preserve"> </w:t>
      </w:r>
      <w:r w:rsidRPr="00E94C2F">
        <w:t>Répartition géographique des entreprises de conseil en systèmes et logiciels informatique en France</w:t>
      </w:r>
    </w:p>
    <w:p w:rsidR="00CA5373" w:rsidRDefault="00CA5373" w:rsidP="00CA5373">
      <w:r>
        <w:t xml:space="preserve">20% des régions en France (soit 6 régions) accueillent 80% des établissements et 96% des effectifs du secteur. Plus que la moitié (53%) sont localisés en Île-de-France avec 68% des effectifs. </w:t>
      </w:r>
    </w:p>
    <w:p w:rsidR="00A86955" w:rsidRDefault="00CA5373" w:rsidP="00A86955">
      <w:r>
        <w:t xml:space="preserve">Le service est caractérisé par la proximité avec le client. La majorité des clients sont situés dans la région parisienne. En effet, le service informatique est souvent lié à des besoins exprimé par les sièges sociaux qui sont généralement dans cette région. </w:t>
      </w:r>
      <w:r w:rsidR="00A86955">
        <w:t>De plus, l</w:t>
      </w:r>
      <w:r w:rsidR="0005274C">
        <w:t>a région d’Île-de-France</w:t>
      </w:r>
      <w:r w:rsidR="00A86955">
        <w:t xml:space="preserve"> contient</w:t>
      </w:r>
      <w:r w:rsidR="0005274C">
        <w:t xml:space="preserve"> </w:t>
      </w:r>
      <w:r w:rsidR="00A86955">
        <w:t xml:space="preserve">deux pôles de compétitivité fortement marqués par la thématique des TIC et beaucoup d’adhérents. Il s’agit des pôles CAP DIGITAL et SYSTEMATIC. Cela explique la forte densité des entreprises de ce secteur dans cette région. </w:t>
      </w:r>
    </w:p>
    <w:p w:rsidR="00A86955" w:rsidRDefault="00A86955" w:rsidP="00E57F43">
      <w:r>
        <w:t>L’autre moitié des établissements est répartit sur l’ensemble du territoire avec une présence marquée en Provence-Alpes-Côte d’Azur avec le pôle « Solutions Communicantes Sécurisées (SCS), en Rhône-Alpes avec les pôles MINALOGIC et IMAGINOVE</w:t>
      </w:r>
      <w:r w:rsidR="00E57F43">
        <w:t xml:space="preserve">. </w:t>
      </w:r>
    </w:p>
    <w:p w:rsidR="00A86955" w:rsidRDefault="00A86955" w:rsidP="00A86955">
      <w:r>
        <w:t xml:space="preserve">Dans d’autres régions comme à Toulouse, il y a très peu de clients voire un seul qui est Airbus et plusieurs petites entreprises de services informatiques autour de ce client. Dans cette dernière région le secteur a donc la forme d’un oligopsone voire monopsone sur certains segments. </w:t>
      </w:r>
    </w:p>
    <w:p w:rsidR="00CA5373" w:rsidRDefault="00E57F43" w:rsidP="00EF74AE">
      <w:r>
        <w:t>Il y a plusieurs incitations qui encouragent les entreprises à rejoindre un pôle de compétitivité. En effet, s</w:t>
      </w:r>
      <w:r w:rsidR="00A86955">
        <w:t>elon la DGCIS</w:t>
      </w:r>
      <w:r w:rsidR="00A86955">
        <w:rPr>
          <w:rStyle w:val="FootnoteReference"/>
        </w:rPr>
        <w:footnoteReference w:id="10"/>
      </w:r>
      <w:r w:rsidR="00A86955">
        <w:t xml:space="preserve"> dans son « 4 pages » de septembre 2013, rejoindre les pôles de compétitivité</w:t>
      </w:r>
      <w:r w:rsidR="004D14FF">
        <w:t xml:space="preserve"> est un atout car</w:t>
      </w:r>
      <w:r w:rsidR="00A86955">
        <w:t xml:space="preserve"> ces pôles renforcent les liens de </w:t>
      </w:r>
      <w:proofErr w:type="gramStart"/>
      <w:r w:rsidR="00A86955">
        <w:t>leur membres</w:t>
      </w:r>
      <w:proofErr w:type="gramEnd"/>
      <w:r w:rsidR="00A86955">
        <w:t xml:space="preserve"> avec l’international. </w:t>
      </w:r>
      <w:r>
        <w:t>On note aussi que depuis 2009, 50% des projets de R&amp;D qui sont soutenus par le FUI</w:t>
      </w:r>
      <w:r>
        <w:rPr>
          <w:rStyle w:val="FootnoteReference"/>
        </w:rPr>
        <w:footnoteReference w:id="11"/>
      </w:r>
      <w:r>
        <w:t>, intègrent une composant</w:t>
      </w:r>
      <w:r w:rsidR="00EF74AE">
        <w:t xml:space="preserve">e TIC dans leurs thématiques. </w:t>
      </w:r>
    </w:p>
    <w:p w:rsidR="00C60FE2" w:rsidRDefault="00C60FE2" w:rsidP="00C60FE2">
      <w:pPr>
        <w:pStyle w:val="Heading1"/>
        <w:pBdr>
          <w:top w:val="single" w:sz="8" w:space="0" w:color="auto"/>
        </w:pBdr>
      </w:pPr>
      <w:bookmarkStart w:id="28" w:name="_Toc446904692"/>
      <w:r>
        <w:lastRenderedPageBreak/>
        <w:t>Concentration du secteur</w:t>
      </w:r>
      <w:bookmarkEnd w:id="28"/>
    </w:p>
    <w:p w:rsidR="00C60FE2" w:rsidRDefault="00C60FE2" w:rsidP="00C60FE2">
      <w:pPr>
        <w:pStyle w:val="Heading2"/>
      </w:pPr>
      <w:bookmarkStart w:id="29" w:name="_Toc446682350"/>
      <w:bookmarkStart w:id="30" w:name="_Toc446904693"/>
      <w:r>
        <w:t>Mesures de la concentration</w:t>
      </w:r>
      <w:bookmarkEnd w:id="29"/>
      <w:bookmarkEnd w:id="30"/>
    </w:p>
    <w:p w:rsidR="00AB734A" w:rsidRDefault="00CA5373" w:rsidP="00B51638">
      <w:pPr>
        <w:pStyle w:val="Graph"/>
      </w:pPr>
      <w:r w:rsidRPr="00CA5373">
        <w:drawing>
          <wp:inline distT="0" distB="0" distL="0" distR="0" wp14:anchorId="1C4735E8" wp14:editId="72EBC80A">
            <wp:extent cx="2990606" cy="1959428"/>
            <wp:effectExtent l="0" t="0" r="0" b="0"/>
            <wp:docPr id="3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3039838" cy="1991684"/>
                    </a:xfrm>
                    <a:prstGeom prst="rect">
                      <a:avLst/>
                    </a:prstGeom>
                    <a:noFill/>
                    <a:ln w="9525">
                      <a:noFill/>
                      <a:miter lim="800000"/>
                      <a:headEnd/>
                      <a:tailEnd/>
                    </a:ln>
                  </pic:spPr>
                </pic:pic>
              </a:graphicData>
            </a:graphic>
          </wp:inline>
        </w:drawing>
      </w:r>
      <w:r w:rsidR="004B7B4E" w:rsidRPr="00CA5373">
        <w:drawing>
          <wp:inline distT="0" distB="0" distL="0" distR="0" wp14:anchorId="5A6621C4" wp14:editId="1B2A390B">
            <wp:extent cx="2980707" cy="1952940"/>
            <wp:effectExtent l="0" t="0" r="0" b="0"/>
            <wp:docPr id="4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3026266" cy="1982790"/>
                    </a:xfrm>
                    <a:prstGeom prst="rect">
                      <a:avLst/>
                    </a:prstGeom>
                    <a:noFill/>
                    <a:ln w="9525">
                      <a:noFill/>
                      <a:miter lim="800000"/>
                      <a:headEnd/>
                      <a:tailEnd/>
                    </a:ln>
                  </pic:spPr>
                </pic:pic>
              </a:graphicData>
            </a:graphic>
          </wp:inline>
        </w:drawing>
      </w:r>
    </w:p>
    <w:p w:rsidR="00EB4608" w:rsidRDefault="00AB734A" w:rsidP="00B51638">
      <w:pPr>
        <w:pStyle w:val="Graph"/>
        <w:spacing w:before="0" w:after="0"/>
      </w:pPr>
      <w:bookmarkStart w:id="31" w:name="_Ref446901037"/>
      <w:r>
        <w:t xml:space="preserve">Graphique </w:t>
      </w:r>
      <w:r>
        <w:fldChar w:fldCharType="begin"/>
      </w:r>
      <w:r>
        <w:instrText xml:space="preserve"> SEQ Graphique \* ARABIC </w:instrText>
      </w:r>
      <w:r>
        <w:fldChar w:fldCharType="separate"/>
      </w:r>
      <w:r w:rsidR="003F6757">
        <w:t>7</w:t>
      </w:r>
      <w:r>
        <w:fldChar w:fldCharType="end"/>
      </w:r>
      <w:bookmarkEnd w:id="31"/>
      <w:r>
        <w:t xml:space="preserve"> </w:t>
      </w:r>
      <w:r w:rsidR="00B51638">
        <w:t xml:space="preserve">(à gauche) </w:t>
      </w:r>
      <w:r w:rsidRPr="009A0A55">
        <w:t>Coefficients de concentrations (du C1 au C100) du secteur 6202A en France en 2014</w:t>
      </w:r>
    </w:p>
    <w:p w:rsidR="00B51638" w:rsidRDefault="00B51638" w:rsidP="00B51638">
      <w:pPr>
        <w:pStyle w:val="Graph"/>
        <w:spacing w:before="0" w:after="0"/>
      </w:pPr>
      <w:bookmarkStart w:id="32" w:name="_Ref446901531"/>
      <w:r>
        <w:t xml:space="preserve">Graphique </w:t>
      </w:r>
      <w:r>
        <w:fldChar w:fldCharType="begin"/>
      </w:r>
      <w:r>
        <w:instrText xml:space="preserve"> SEQ Graphique \* ARABIC </w:instrText>
      </w:r>
      <w:r>
        <w:fldChar w:fldCharType="separate"/>
      </w:r>
      <w:r w:rsidR="003F6757">
        <w:t>8</w:t>
      </w:r>
      <w:r>
        <w:fldChar w:fldCharType="end"/>
      </w:r>
      <w:bookmarkEnd w:id="32"/>
      <w:r>
        <w:t xml:space="preserve"> ( à droite) </w:t>
      </w:r>
      <w:r w:rsidRPr="00336992">
        <w:t>Evolution de la concentration du secteur conseil en systèmes et logiciels informatiques en France depuis 2004</w:t>
      </w:r>
    </w:p>
    <w:p w:rsidR="00CA5373" w:rsidRDefault="004B7B4E" w:rsidP="001A57ED">
      <w:r>
        <w:t xml:space="preserve">Le </w:t>
      </w:r>
      <w:r>
        <w:fldChar w:fldCharType="begin"/>
      </w:r>
      <w:r>
        <w:instrText xml:space="preserve"> REF _Ref446901037 \h </w:instrText>
      </w:r>
      <w:r>
        <w:fldChar w:fldCharType="separate"/>
      </w:r>
      <w:r w:rsidR="003F6757">
        <w:t xml:space="preserve">Graphique </w:t>
      </w:r>
      <w:r w:rsidR="003F6757">
        <w:rPr>
          <w:noProof/>
        </w:rPr>
        <w:t>7</w:t>
      </w:r>
      <w:r>
        <w:fldChar w:fldCharType="end"/>
      </w:r>
      <w:r>
        <w:t xml:space="preserve"> montre que le leader (IBM) détient 8% des parts de marché en 2014. Le C4 est de 20%, le C20 est à 45% et le C100 est à 68%. </w:t>
      </w:r>
      <w:r w:rsidR="00B51638">
        <w:t xml:space="preserve">Le </w:t>
      </w:r>
      <w:r w:rsidR="00B51638">
        <w:fldChar w:fldCharType="begin"/>
      </w:r>
      <w:r w:rsidR="00B51638">
        <w:instrText xml:space="preserve"> REF _Ref446901531 \h </w:instrText>
      </w:r>
      <w:r w:rsidR="00B51638">
        <w:fldChar w:fldCharType="separate"/>
      </w:r>
      <w:r w:rsidR="003F6757">
        <w:t xml:space="preserve">Graphique </w:t>
      </w:r>
      <w:r w:rsidR="003F6757">
        <w:rPr>
          <w:noProof/>
        </w:rPr>
        <w:t>8</w:t>
      </w:r>
      <w:r w:rsidR="00B51638">
        <w:fldChar w:fldCharType="end"/>
      </w:r>
      <w:r w:rsidR="00B51638">
        <w:t xml:space="preserve"> montre que l’indice d’</w:t>
      </w:r>
      <w:proofErr w:type="spellStart"/>
      <w:r w:rsidR="00B51638">
        <w:t>Herfindahl-H</w:t>
      </w:r>
      <w:r w:rsidR="00B51638" w:rsidRPr="00B51638">
        <w:t>irschman</w:t>
      </w:r>
      <w:proofErr w:type="spellEnd"/>
      <w:r w:rsidR="00B51638">
        <w:t xml:space="preserve"> (IHH) était de 587 ce qui indique que le secteur est peu concentré. Cet indice baisse entre 2004 et 2014 et passe à 168. Cela indique que le secteur est toujours peu concentré, voire très peu concentré. Cela s’explique par les faibles barrières à l’entrée (cf. </w:t>
      </w:r>
      <w:r w:rsidR="00B51638">
        <w:fldChar w:fldCharType="begin"/>
      </w:r>
      <w:r w:rsidR="00B51638">
        <w:instrText xml:space="preserve"> REF _Ref446901823 \r \h </w:instrText>
      </w:r>
      <w:r w:rsidR="00B51638">
        <w:fldChar w:fldCharType="separate"/>
      </w:r>
      <w:r w:rsidR="003F6757">
        <w:rPr>
          <w:cs/>
        </w:rPr>
        <w:t>‎</w:t>
      </w:r>
      <w:r w:rsidR="003F6757">
        <w:t>4.3</w:t>
      </w:r>
      <w:r w:rsidR="00B51638">
        <w:fldChar w:fldCharType="end"/>
      </w:r>
      <w:r w:rsidR="00B51638">
        <w:t xml:space="preserve">) et le nombre important d’entrées dans le secteur </w:t>
      </w:r>
      <w:r w:rsidR="001A57ED">
        <w:t xml:space="preserve">comme le montre le </w:t>
      </w:r>
      <w:r w:rsidR="001A57ED">
        <w:fldChar w:fldCharType="begin"/>
      </w:r>
      <w:r w:rsidR="001A57ED">
        <w:instrText xml:space="preserve"> REF _Ref446899307 \h </w:instrText>
      </w:r>
      <w:r w:rsidR="001A57ED">
        <w:fldChar w:fldCharType="separate"/>
      </w:r>
      <w:r w:rsidR="003F6757">
        <w:t xml:space="preserve">Graphique </w:t>
      </w:r>
      <w:r w:rsidR="003F6757">
        <w:rPr>
          <w:noProof/>
        </w:rPr>
        <w:t>3</w:t>
      </w:r>
      <w:r w:rsidR="001A57ED">
        <w:fldChar w:fldCharType="end"/>
      </w:r>
      <w:r w:rsidR="001A57ED">
        <w:t xml:space="preserve">. </w:t>
      </w:r>
    </w:p>
    <w:p w:rsidR="00C60FE2" w:rsidRDefault="00C60FE2" w:rsidP="00C60FE2">
      <w:pPr>
        <w:pStyle w:val="Heading2"/>
      </w:pPr>
      <w:bookmarkStart w:id="33" w:name="_Toc446682351"/>
      <w:bookmarkStart w:id="34" w:name="_Ref446875481"/>
      <w:bookmarkStart w:id="35" w:name="_Toc446904694"/>
      <w:r>
        <w:t>La taille minimale optimale (TMO)</w:t>
      </w:r>
      <w:bookmarkEnd w:id="33"/>
      <w:bookmarkEnd w:id="34"/>
      <w:bookmarkEnd w:id="35"/>
    </w:p>
    <w:p w:rsidR="00AB734A" w:rsidRDefault="00CA5373" w:rsidP="00D26C17">
      <w:pPr>
        <w:pStyle w:val="Graph"/>
      </w:pPr>
      <w:r w:rsidRPr="00CA5373">
        <w:drawing>
          <wp:inline distT="0" distB="0" distL="0" distR="0" wp14:anchorId="675027E7" wp14:editId="0917BA23">
            <wp:extent cx="3800610" cy="2488416"/>
            <wp:effectExtent l="0" t="0" r="0" b="0"/>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824924" cy="2504335"/>
                    </a:xfrm>
                    <a:prstGeom prst="rect">
                      <a:avLst/>
                    </a:prstGeom>
                    <a:noFill/>
                    <a:ln w="9525">
                      <a:noFill/>
                      <a:miter lim="800000"/>
                      <a:headEnd/>
                      <a:tailEnd/>
                    </a:ln>
                  </pic:spPr>
                </pic:pic>
              </a:graphicData>
            </a:graphic>
          </wp:inline>
        </w:drawing>
      </w:r>
    </w:p>
    <w:p w:rsidR="00EB4608" w:rsidRDefault="00AB734A" w:rsidP="00D26C17">
      <w:pPr>
        <w:pStyle w:val="Graph"/>
      </w:pPr>
      <w:bookmarkStart w:id="36" w:name="_Ref446900318"/>
      <w:r>
        <w:t xml:space="preserve">Graphique </w:t>
      </w:r>
      <w:r>
        <w:fldChar w:fldCharType="begin"/>
      </w:r>
      <w:r>
        <w:instrText xml:space="preserve"> SEQ Graphique \* ARABIC </w:instrText>
      </w:r>
      <w:r>
        <w:fldChar w:fldCharType="separate"/>
      </w:r>
      <w:r w:rsidR="003F6757">
        <w:t>9</w:t>
      </w:r>
      <w:r>
        <w:fldChar w:fldCharType="end"/>
      </w:r>
      <w:bookmarkEnd w:id="36"/>
      <w:r>
        <w:t xml:space="preserve"> </w:t>
      </w:r>
      <w:r w:rsidRPr="008F02F5">
        <w:t>Evolution de la taille minimale optimale du secteur conseil en systèmes et logiciels informatiques en France (méthode de Weiss)</w:t>
      </w:r>
    </w:p>
    <w:p w:rsidR="003D408C" w:rsidRDefault="003D408C" w:rsidP="003D408C">
      <w:r>
        <w:t xml:space="preserve">Les ESN cherchent à grossir pour plusieurs raisons : </w:t>
      </w:r>
    </w:p>
    <w:p w:rsidR="003D408C" w:rsidRDefault="003D408C" w:rsidP="003D408C">
      <w:pPr>
        <w:pStyle w:val="ListParagraph"/>
        <w:numPr>
          <w:ilvl w:val="0"/>
          <w:numId w:val="20"/>
        </w:numPr>
      </w:pPr>
      <w:r>
        <w:t xml:space="preserve">Raisons de </w:t>
      </w:r>
      <w:r w:rsidRPr="003D408C">
        <w:rPr>
          <w:b/>
          <w:bCs/>
        </w:rPr>
        <w:t>sécurité</w:t>
      </w:r>
      <w:r>
        <w:t xml:space="preserve"> pour résister plus facilement aux crises économiques</w:t>
      </w:r>
      <w:r>
        <w:rPr>
          <w:rStyle w:val="FootnoteReference"/>
        </w:rPr>
        <w:footnoteReference w:id="12"/>
      </w:r>
      <w:r>
        <w:t xml:space="preserve">, </w:t>
      </w:r>
    </w:p>
    <w:p w:rsidR="003D408C" w:rsidRDefault="003D408C" w:rsidP="003D408C">
      <w:pPr>
        <w:pStyle w:val="ListParagraph"/>
        <w:numPr>
          <w:ilvl w:val="0"/>
          <w:numId w:val="20"/>
        </w:numPr>
      </w:pPr>
      <w:r>
        <w:t xml:space="preserve">Raison de </w:t>
      </w:r>
      <w:r w:rsidRPr="003D408C">
        <w:rPr>
          <w:b/>
          <w:bCs/>
        </w:rPr>
        <w:t>marketing</w:t>
      </w:r>
      <w:r>
        <w:t xml:space="preserve"> </w:t>
      </w:r>
      <w:r w:rsidR="004F3BE6">
        <w:t xml:space="preserve">et crédibilité </w:t>
      </w:r>
      <w:r>
        <w:t xml:space="preserve">pour se faire connaître auprès des clients, </w:t>
      </w:r>
    </w:p>
    <w:p w:rsidR="003D408C" w:rsidRDefault="003D408C" w:rsidP="004F3BE6">
      <w:pPr>
        <w:pStyle w:val="ListParagraph"/>
        <w:numPr>
          <w:ilvl w:val="0"/>
          <w:numId w:val="20"/>
        </w:numPr>
      </w:pPr>
      <w:r>
        <w:t xml:space="preserve">Raison </w:t>
      </w:r>
      <w:r w:rsidRPr="003D408C">
        <w:rPr>
          <w:b/>
          <w:bCs/>
        </w:rPr>
        <w:t>financièr</w:t>
      </w:r>
      <w:r w:rsidR="004F3BE6">
        <w:rPr>
          <w:b/>
          <w:bCs/>
        </w:rPr>
        <w:t>e</w:t>
      </w:r>
      <w:r>
        <w:t xml:space="preserve"> pour compenser les coûts des inter-contrats, </w:t>
      </w:r>
    </w:p>
    <w:p w:rsidR="004F3BE6" w:rsidRDefault="004F3BE6" w:rsidP="004F3BE6">
      <w:pPr>
        <w:pStyle w:val="ListParagraph"/>
        <w:numPr>
          <w:ilvl w:val="0"/>
          <w:numId w:val="20"/>
        </w:numPr>
      </w:pPr>
      <w:r>
        <w:t xml:space="preserve">Raison </w:t>
      </w:r>
      <w:r w:rsidRPr="004F3BE6">
        <w:rPr>
          <w:b/>
          <w:bCs/>
        </w:rPr>
        <w:t>stratégique</w:t>
      </w:r>
      <w:r>
        <w:t xml:space="preserve"> pour améliorer son positionnement sur le marché, </w:t>
      </w:r>
    </w:p>
    <w:p w:rsidR="004F3BE6" w:rsidRDefault="004F3BE6" w:rsidP="004F3BE6">
      <w:pPr>
        <w:pStyle w:val="ListParagraph"/>
        <w:numPr>
          <w:ilvl w:val="0"/>
          <w:numId w:val="20"/>
        </w:numPr>
      </w:pPr>
      <w:r>
        <w:t xml:space="preserve">Raison </w:t>
      </w:r>
      <w:r w:rsidRPr="004F3BE6">
        <w:rPr>
          <w:b/>
          <w:bCs/>
        </w:rPr>
        <w:t>fiscale</w:t>
      </w:r>
      <w:r>
        <w:t xml:space="preserve"> favorable pour les dirigeants de PME souhaitant céder leur entreprise. Ils bénéficient d’un abattement sur le montant de l’impôt qui peut atteindre 85%.  </w:t>
      </w:r>
    </w:p>
    <w:p w:rsidR="00C60FE2" w:rsidRDefault="00A71EB6" w:rsidP="002B5AF2">
      <w:r>
        <w:lastRenderedPageBreak/>
        <w:t>Nous avons utilisé la méthode de Weiss</w:t>
      </w:r>
      <w:r>
        <w:rPr>
          <w:rStyle w:val="FootnoteReference"/>
        </w:rPr>
        <w:footnoteReference w:id="13"/>
      </w:r>
      <w:r>
        <w:t xml:space="preserve"> pour estimer la taille minimale optimale. Cette méthode recommande de se baser sur le chiffre d’affaire de la branche. Mais comme nous n’avons pas accès aux comptabilités analytique des entreprises de ce secteur, on ne pourra pas ventiler les CA de notre base de données. Mais comme mentionné au paragraphe </w:t>
      </w:r>
      <w:r w:rsidR="002B5AF2">
        <w:fldChar w:fldCharType="begin"/>
      </w:r>
      <w:r w:rsidR="002B5AF2">
        <w:instrText xml:space="preserve"> REF _Ref446900099 \r \h </w:instrText>
      </w:r>
      <w:r w:rsidR="002B5AF2">
        <w:fldChar w:fldCharType="separate"/>
      </w:r>
      <w:r w:rsidR="003F6757">
        <w:rPr>
          <w:cs/>
        </w:rPr>
        <w:t>‎</w:t>
      </w:r>
      <w:r w:rsidR="003F6757">
        <w:t>2.3</w:t>
      </w:r>
      <w:r w:rsidR="002B5AF2">
        <w:fldChar w:fldCharType="end"/>
      </w:r>
      <w:r w:rsidR="002B5AF2">
        <w:t xml:space="preserve">, on suppose que seulement les grandes entreprises se diversifient et les autres se centrent sur leur activité principale. Les chiffres d’affaire des petits acteurs correspondent donc au chiffre d’affaire de la branche. </w:t>
      </w:r>
    </w:p>
    <w:p w:rsidR="002B5AF2" w:rsidRDefault="002B5AF2" w:rsidP="00586E7B">
      <w:r>
        <w:t xml:space="preserve">Comme le montre le </w:t>
      </w:r>
      <w:r>
        <w:fldChar w:fldCharType="begin"/>
      </w:r>
      <w:r>
        <w:instrText xml:space="preserve"> REF _Ref446900318 \h </w:instrText>
      </w:r>
      <w:r>
        <w:fldChar w:fldCharType="separate"/>
      </w:r>
      <w:r w:rsidR="003F6757">
        <w:t xml:space="preserve">Graphique </w:t>
      </w:r>
      <w:r w:rsidR="003F6757">
        <w:rPr>
          <w:noProof/>
        </w:rPr>
        <w:t>9</w:t>
      </w:r>
      <w:r>
        <w:fldChar w:fldCharType="end"/>
      </w:r>
      <w:r>
        <w:t>, la TMO n’est pas constante au court du temps. En effet, le marché est en croissance</w:t>
      </w:r>
      <w:r>
        <w:rPr>
          <w:rStyle w:val="FootnoteReference"/>
        </w:rPr>
        <w:footnoteReference w:id="14"/>
      </w:r>
      <w:r>
        <w:t xml:space="preserve"> et il y a un phénomène de consolidation très remarquable dans le secteur. En 2004, la TMO était de 240 million d’euro et n’est que de 160 million d’euro en 2014. </w:t>
      </w:r>
      <w:r w:rsidR="00586E7B">
        <w:t xml:space="preserve">Comme le marché est de 30 milliard d’euro en 2014, nous estimons le nombre d’entreprise à l’équilibre à 185. Cela explique donc le grand nombre d’opérations de fusion et acquisition observé dans ce secteur comme le montre le </w:t>
      </w:r>
      <w:r w:rsidR="00586E7B">
        <w:fldChar w:fldCharType="begin"/>
      </w:r>
      <w:r w:rsidR="00586E7B">
        <w:instrText xml:space="preserve"> REF _Ref446900918 \h </w:instrText>
      </w:r>
      <w:r w:rsidR="00586E7B">
        <w:fldChar w:fldCharType="separate"/>
      </w:r>
      <w:r w:rsidR="003F6757">
        <w:t xml:space="preserve">Graphique </w:t>
      </w:r>
      <w:r w:rsidR="003F6757">
        <w:rPr>
          <w:noProof/>
        </w:rPr>
        <w:t>5</w:t>
      </w:r>
      <w:r w:rsidR="00586E7B">
        <w:fldChar w:fldCharType="end"/>
      </w:r>
      <w:r w:rsidR="00586E7B">
        <w:t xml:space="preserve">. </w:t>
      </w:r>
    </w:p>
    <w:p w:rsidR="00C60FE2" w:rsidRDefault="00C60FE2" w:rsidP="00C60FE2">
      <w:pPr>
        <w:pStyle w:val="Heading2"/>
      </w:pPr>
      <w:bookmarkStart w:id="37" w:name="_Toc446682352"/>
      <w:bookmarkStart w:id="38" w:name="_Ref446901823"/>
      <w:bookmarkStart w:id="39" w:name="_Toc446904695"/>
      <w:r>
        <w:t>Les barrières à l’entrée</w:t>
      </w:r>
      <w:bookmarkEnd w:id="37"/>
      <w:bookmarkEnd w:id="38"/>
      <w:bookmarkEnd w:id="39"/>
    </w:p>
    <w:p w:rsidR="00C60FE2" w:rsidRDefault="006A468A" w:rsidP="00C53B0F">
      <w:r>
        <w:t>Le secteur du conseil en systèmes et logiciel informatiques a de faibles barrières à l’entrée par rapport aux autres secteurs</w:t>
      </w:r>
      <w:r w:rsidR="00C53B0F">
        <w:t xml:space="preserve"> des TIC ou par rapport à d’autres secteurs plus capitalistiques</w:t>
      </w:r>
      <w:r>
        <w:t>. Cela ne veut pas dire qu’il n’existe pas de barrières à l’entrée. En effet, il faut d’abord avoir une certaine connaissance et maitrise dans au moins un domaine de l’informatique qui est très vaste.</w:t>
      </w:r>
      <w:r w:rsidR="00C53B0F">
        <w:t xml:space="preserve"> Ensuite il faudrait être capable d’investir dans les formations pour rester à jours des nouvelles technologies de l’information où l’innovation est très importante.</w:t>
      </w:r>
      <w:r>
        <w:t xml:space="preserve"> </w:t>
      </w:r>
      <w:r w:rsidR="00C53B0F">
        <w:t>I</w:t>
      </w:r>
      <w:r>
        <w:t xml:space="preserve">l faudrait </w:t>
      </w:r>
      <w:r w:rsidR="00C53B0F">
        <w:t xml:space="preserve">aussi </w:t>
      </w:r>
      <w:r>
        <w:t>atteindre la taille minimale optimale pour être crédible aux yeux des clients et avoir accès aux contrats grand comptes. Cette taille permet aussi de résister aux périodes difficiles d’inter-contrat qui augmentent pendant les vacances d’été (juillet-aout) comme nous l’avons vu dans</w:t>
      </w:r>
      <w:r w:rsidR="00C53B0F">
        <w:t xml:space="preserve"> l’analyse de</w:t>
      </w:r>
      <w:r>
        <w:t xml:space="preserve"> la saisonnalité du CA dans la 1</w:t>
      </w:r>
      <w:r w:rsidRPr="006A468A">
        <w:rPr>
          <w:vertAlign w:val="superscript"/>
        </w:rPr>
        <w:t>ère</w:t>
      </w:r>
      <w:r>
        <w:t xml:space="preserve"> fiche de cette étude. </w:t>
      </w:r>
    </w:p>
    <w:p w:rsidR="00806CF3" w:rsidRDefault="00031A5F" w:rsidP="00CA3DF2">
      <w:r>
        <w:t xml:space="preserve">Les faibles barrières à l’entrée sont confirmées par un nombre important d’entrées comme le montre le </w:t>
      </w:r>
      <w:r>
        <w:fldChar w:fldCharType="begin"/>
      </w:r>
      <w:r>
        <w:instrText xml:space="preserve"> REF _Ref446899307 \h </w:instrText>
      </w:r>
      <w:r>
        <w:fldChar w:fldCharType="separate"/>
      </w:r>
      <w:r w:rsidR="003F6757">
        <w:t xml:space="preserve">Graphique </w:t>
      </w:r>
      <w:r w:rsidR="003F6757">
        <w:rPr>
          <w:noProof/>
        </w:rPr>
        <w:t>3</w:t>
      </w:r>
      <w:r>
        <w:fldChar w:fldCharType="end"/>
      </w:r>
      <w:r>
        <w:t xml:space="preserve">. </w:t>
      </w:r>
    </w:p>
    <w:p w:rsidR="00770243" w:rsidRDefault="00CA3DF2" w:rsidP="00CA3DF2">
      <w:r>
        <w:t xml:space="preserve"> </w:t>
      </w:r>
    </w:p>
    <w:p w:rsidR="00CA3DF2" w:rsidRDefault="00CA3DF2" w:rsidP="00770243">
      <w:pPr>
        <w:tabs>
          <w:tab w:val="left" w:pos="5520"/>
        </w:tabs>
      </w:pPr>
    </w:p>
    <w:p w:rsidR="00806CF3" w:rsidRDefault="00806CF3" w:rsidP="00806CF3">
      <w:pPr>
        <w:pStyle w:val="Heading1"/>
        <w:numPr>
          <w:ilvl w:val="0"/>
          <w:numId w:val="0"/>
        </w:numPr>
        <w:ind w:left="431"/>
      </w:pPr>
      <w:bookmarkStart w:id="40" w:name="_Ref446894877"/>
      <w:bookmarkStart w:id="41" w:name="_Toc446904696"/>
      <w:r>
        <w:lastRenderedPageBreak/>
        <w:t>Annexes</w:t>
      </w:r>
      <w:bookmarkEnd w:id="40"/>
      <w:bookmarkEnd w:id="41"/>
    </w:p>
    <w:p w:rsidR="00AB734A" w:rsidRDefault="00306898" w:rsidP="00041825">
      <w:pPr>
        <w:pStyle w:val="Graph"/>
      </w:pPr>
      <w:r>
        <w:drawing>
          <wp:inline distT="0" distB="0" distL="0" distR="0" wp14:anchorId="6B3669EC" wp14:editId="218A8171">
            <wp:extent cx="4364051" cy="2859206"/>
            <wp:effectExtent l="0" t="0" r="0" b="0"/>
            <wp:docPr id="1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4398432" cy="2881731"/>
                    </a:xfrm>
                    <a:prstGeom prst="rect">
                      <a:avLst/>
                    </a:prstGeom>
                    <a:noFill/>
                    <a:ln w="9525">
                      <a:noFill/>
                      <a:miter lim="800000"/>
                      <a:headEnd/>
                      <a:tailEnd/>
                    </a:ln>
                  </pic:spPr>
                </pic:pic>
              </a:graphicData>
            </a:graphic>
          </wp:inline>
        </w:drawing>
      </w:r>
    </w:p>
    <w:p w:rsidR="00306898" w:rsidRPr="00041825" w:rsidRDefault="00AB734A" w:rsidP="00D26C17">
      <w:pPr>
        <w:pStyle w:val="Graph"/>
      </w:pPr>
      <w:bookmarkStart w:id="42" w:name="_Ref446894846"/>
      <w:r w:rsidRPr="00041825">
        <w:t xml:space="preserve">Graphique </w:t>
      </w:r>
      <w:r w:rsidRPr="00041825">
        <w:fldChar w:fldCharType="begin"/>
      </w:r>
      <w:r w:rsidRPr="00041825">
        <w:instrText xml:space="preserve"> SEQ Graphique \* ARABIC </w:instrText>
      </w:r>
      <w:r w:rsidRPr="00041825">
        <w:fldChar w:fldCharType="separate"/>
      </w:r>
      <w:r w:rsidR="003F6757">
        <w:t>10</w:t>
      </w:r>
      <w:r w:rsidRPr="00041825">
        <w:fldChar w:fldCharType="end"/>
      </w:r>
      <w:bookmarkEnd w:id="42"/>
      <w:r w:rsidRPr="00041825">
        <w:t xml:space="preserve"> Répartition des opérations de fusions-acquisitions réalisées en France dans les secteurs des services informatiques par classe de CA en volume et en valeur</w:t>
      </w:r>
    </w:p>
    <w:p w:rsidR="00041825" w:rsidRDefault="00041825" w:rsidP="005D4D73">
      <w:r>
        <w:t xml:space="preserve">D’après le </w:t>
      </w:r>
      <w:r>
        <w:fldChar w:fldCharType="begin"/>
      </w:r>
      <w:r>
        <w:instrText xml:space="preserve"> REF _Ref446894846 \h </w:instrText>
      </w:r>
      <w:r>
        <w:fldChar w:fldCharType="separate"/>
      </w:r>
      <w:r w:rsidR="003F6757" w:rsidRPr="00041825">
        <w:t xml:space="preserve">Graphique </w:t>
      </w:r>
      <w:r w:rsidR="003F6757">
        <w:rPr>
          <w:noProof/>
        </w:rPr>
        <w:t>10</w:t>
      </w:r>
      <w:r>
        <w:fldChar w:fldCharType="end"/>
      </w:r>
      <w:r>
        <w:t xml:space="preserve">, en 2014, les 71% des opérations portent sur des capitaux de moins de 7,5 million d’euros et ne représentent que 6% du montant total des opérations de M&amp;A. 4% des opérations portent sur des capitaux de plus de 75 million d’euros et représentent 82% du montant total de l’année. </w:t>
      </w:r>
    </w:p>
    <w:p w:rsidR="00041825" w:rsidRDefault="00041825" w:rsidP="00041825">
      <w:pPr>
        <w:pStyle w:val="Graph"/>
      </w:pPr>
    </w:p>
    <w:p w:rsidR="00AB734A" w:rsidRDefault="00306898" w:rsidP="00041825">
      <w:pPr>
        <w:pStyle w:val="Graph"/>
      </w:pPr>
      <w:r>
        <w:drawing>
          <wp:inline distT="0" distB="0" distL="0" distR="0" wp14:anchorId="59948585" wp14:editId="31D3255F">
            <wp:extent cx="4515626" cy="2954740"/>
            <wp:effectExtent l="0" t="0" r="0" b="0"/>
            <wp:docPr id="1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4582887" cy="2998751"/>
                    </a:xfrm>
                    <a:prstGeom prst="rect">
                      <a:avLst/>
                    </a:prstGeom>
                    <a:noFill/>
                    <a:ln w="9525">
                      <a:noFill/>
                      <a:miter lim="800000"/>
                      <a:headEnd/>
                      <a:tailEnd/>
                    </a:ln>
                  </pic:spPr>
                </pic:pic>
              </a:graphicData>
            </a:graphic>
          </wp:inline>
        </w:drawing>
      </w:r>
    </w:p>
    <w:p w:rsidR="00306898" w:rsidRPr="00041825" w:rsidRDefault="00AB734A" w:rsidP="00D26C17">
      <w:pPr>
        <w:pStyle w:val="Graph"/>
      </w:pPr>
      <w:bookmarkStart w:id="43" w:name="_Ref446894851"/>
      <w:r w:rsidRPr="00041825">
        <w:t xml:space="preserve">Graphique </w:t>
      </w:r>
      <w:r w:rsidRPr="00041825">
        <w:fldChar w:fldCharType="begin"/>
      </w:r>
      <w:r w:rsidRPr="00041825">
        <w:instrText xml:space="preserve"> SEQ Graphique \* ARABIC </w:instrText>
      </w:r>
      <w:r w:rsidRPr="00041825">
        <w:fldChar w:fldCharType="separate"/>
      </w:r>
      <w:r w:rsidR="003F6757">
        <w:t>11</w:t>
      </w:r>
      <w:r w:rsidRPr="00041825">
        <w:fldChar w:fldCharType="end"/>
      </w:r>
      <w:bookmarkEnd w:id="43"/>
      <w:r w:rsidRPr="00041825">
        <w:t xml:space="preserve"> Répartition des acquéreurs dans les secteurs des services informatiques en nombre et montant (opérations réalisées en France)</w:t>
      </w:r>
    </w:p>
    <w:p w:rsidR="00306898" w:rsidRPr="00AB734A" w:rsidRDefault="00041825" w:rsidP="00041825">
      <w:pPr>
        <w:pStyle w:val="NoSpacing"/>
      </w:pPr>
      <w:r>
        <w:t xml:space="preserve">D’après le </w:t>
      </w:r>
      <w:r>
        <w:fldChar w:fldCharType="begin"/>
      </w:r>
      <w:r>
        <w:instrText xml:space="preserve"> REF _Ref446894851 \h </w:instrText>
      </w:r>
      <w:r>
        <w:fldChar w:fldCharType="separate"/>
      </w:r>
      <w:r w:rsidR="003F6757" w:rsidRPr="00041825">
        <w:t xml:space="preserve">Graphique </w:t>
      </w:r>
      <w:r w:rsidR="003F6757">
        <w:rPr>
          <w:noProof/>
        </w:rPr>
        <w:t>11</w:t>
      </w:r>
      <w:r>
        <w:fldChar w:fldCharType="end"/>
      </w:r>
      <w:r>
        <w:t xml:space="preserve">, en 2014, 84% des opérations réalisées par des investisseurs Français représentent 87% de la valeur totale.  </w:t>
      </w:r>
    </w:p>
    <w:p w:rsidR="00306898" w:rsidRPr="00AB734A" w:rsidRDefault="00306898" w:rsidP="00306898">
      <w:pPr>
        <w:pStyle w:val="NoSpacing"/>
      </w:pPr>
    </w:p>
    <w:p w:rsidR="00E23A9F" w:rsidRDefault="00E23A9F" w:rsidP="00E23A9F"/>
    <w:p w:rsidR="00041825" w:rsidRDefault="00E23A9F" w:rsidP="00041825">
      <w:pPr>
        <w:pStyle w:val="Graph"/>
        <w:keepNext/>
      </w:pPr>
      <w:r w:rsidRPr="00C60FE2">
        <w:lastRenderedPageBreak/>
        <w:drawing>
          <wp:inline distT="0" distB="0" distL="0" distR="0" wp14:anchorId="0C4D7020" wp14:editId="11D34176">
            <wp:extent cx="3942607" cy="2588123"/>
            <wp:effectExtent l="0" t="0" r="0" b="0"/>
            <wp:docPr id="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3949869" cy="2592890"/>
                    </a:xfrm>
                    <a:prstGeom prst="rect">
                      <a:avLst/>
                    </a:prstGeom>
                    <a:noFill/>
                    <a:ln w="9525">
                      <a:noFill/>
                      <a:miter lim="800000"/>
                      <a:headEnd/>
                      <a:tailEnd/>
                    </a:ln>
                  </pic:spPr>
                </pic:pic>
              </a:graphicData>
            </a:graphic>
          </wp:inline>
        </w:drawing>
      </w:r>
    </w:p>
    <w:p w:rsidR="00E23A9F" w:rsidRPr="00041825" w:rsidRDefault="00041825" w:rsidP="00D26C17">
      <w:pPr>
        <w:pStyle w:val="Graph"/>
      </w:pPr>
      <w:r w:rsidRPr="00041825">
        <w:t xml:space="preserve">Graphique </w:t>
      </w:r>
      <w:r w:rsidRPr="00041825">
        <w:fldChar w:fldCharType="begin"/>
      </w:r>
      <w:r w:rsidRPr="00041825">
        <w:instrText xml:space="preserve"> SEQ Graphique \* ARABIC </w:instrText>
      </w:r>
      <w:r w:rsidRPr="00041825">
        <w:fldChar w:fldCharType="separate"/>
      </w:r>
      <w:r w:rsidR="003F6757">
        <w:t>12</w:t>
      </w:r>
      <w:r w:rsidRPr="00041825">
        <w:fldChar w:fldCharType="end"/>
      </w:r>
      <w:r w:rsidRPr="00041825">
        <w:t xml:space="preserve"> Top 20 du secteur conseil en systèmes et logiciels informatique par taille de bilan et de chiffre d'affaires</w:t>
      </w:r>
    </w:p>
    <w:p w:rsidR="00E23A9F" w:rsidRDefault="003D208F" w:rsidP="003D208F">
      <w:r>
        <w:t xml:space="preserve">L’entreprise IBM n’est pas représentée dans le </w:t>
      </w:r>
      <w:r>
        <w:fldChar w:fldCharType="begin"/>
      </w:r>
      <w:r>
        <w:instrText xml:space="preserve"> REF _Ref446898500 \h </w:instrText>
      </w:r>
      <w:r>
        <w:fldChar w:fldCharType="separate"/>
      </w:r>
      <w:r w:rsidR="003F6757">
        <w:t xml:space="preserve">Graphique </w:t>
      </w:r>
      <w:r w:rsidR="003F6757">
        <w:rPr>
          <w:noProof/>
        </w:rPr>
        <w:t>13</w:t>
      </w:r>
      <w:r>
        <w:fldChar w:fldCharType="end"/>
      </w:r>
      <w:r>
        <w:t xml:space="preserve"> pour faire un zoom sur les autres acteurs.  </w:t>
      </w:r>
    </w:p>
    <w:p w:rsidR="00D26C17" w:rsidRDefault="00E23A9F" w:rsidP="00D26C17">
      <w:pPr>
        <w:pStyle w:val="Graph"/>
      </w:pPr>
      <w:r w:rsidRPr="00C60FE2">
        <w:drawing>
          <wp:inline distT="0" distB="0" distL="0" distR="0" wp14:anchorId="70830A6E" wp14:editId="6E34117F">
            <wp:extent cx="3984171" cy="2608598"/>
            <wp:effectExtent l="0" t="0" r="0" b="0"/>
            <wp:docPr id="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3999018" cy="2618319"/>
                    </a:xfrm>
                    <a:prstGeom prst="rect">
                      <a:avLst/>
                    </a:prstGeom>
                    <a:noFill/>
                    <a:ln w="9525">
                      <a:noFill/>
                      <a:miter lim="800000"/>
                      <a:headEnd/>
                      <a:tailEnd/>
                    </a:ln>
                  </pic:spPr>
                </pic:pic>
              </a:graphicData>
            </a:graphic>
          </wp:inline>
        </w:drawing>
      </w:r>
    </w:p>
    <w:p w:rsidR="00E23A9F" w:rsidRDefault="00D26C17" w:rsidP="00D26C17">
      <w:pPr>
        <w:pStyle w:val="Graph"/>
      </w:pPr>
      <w:bookmarkStart w:id="44" w:name="_Ref446898500"/>
      <w:r>
        <w:t xml:space="preserve">Graphique </w:t>
      </w:r>
      <w:r>
        <w:fldChar w:fldCharType="begin"/>
      </w:r>
      <w:r>
        <w:instrText xml:space="preserve"> SEQ Graphique \* ARABIC </w:instrText>
      </w:r>
      <w:r>
        <w:fldChar w:fldCharType="separate"/>
      </w:r>
      <w:r w:rsidR="003F6757">
        <w:t>13</w:t>
      </w:r>
      <w:r>
        <w:fldChar w:fldCharType="end"/>
      </w:r>
      <w:bookmarkEnd w:id="44"/>
      <w:r>
        <w:t xml:space="preserve"> Croissance et part de marché en 2013 du top 20 des entreprises du secteur conseil en systèmes et logiciels informatique en France</w:t>
      </w:r>
    </w:p>
    <w:p w:rsidR="00E23A9F" w:rsidRPr="00D26C17" w:rsidRDefault="00E23A9F" w:rsidP="00306898">
      <w:pPr>
        <w:pStyle w:val="NoSpacing"/>
      </w:pPr>
    </w:p>
    <w:p w:rsidR="003D208F" w:rsidRDefault="003D208F" w:rsidP="003D208F">
      <w:pPr>
        <w:pStyle w:val="Graph"/>
        <w:keepNext/>
      </w:pPr>
      <w:r>
        <w:drawing>
          <wp:inline distT="0" distB="0" distL="0" distR="0" wp14:anchorId="403B3103" wp14:editId="39D420D3">
            <wp:extent cx="3865418" cy="2529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0425" cy="2538905"/>
                    </a:xfrm>
                    <a:prstGeom prst="rect">
                      <a:avLst/>
                    </a:prstGeom>
                  </pic:spPr>
                </pic:pic>
              </a:graphicData>
            </a:graphic>
          </wp:inline>
        </w:drawing>
      </w:r>
    </w:p>
    <w:p w:rsidR="00E23A9F" w:rsidRDefault="003D208F" w:rsidP="003D208F">
      <w:pPr>
        <w:pStyle w:val="Graph"/>
      </w:pPr>
      <w:r>
        <w:t xml:space="preserve">Graphique </w:t>
      </w:r>
      <w:r>
        <w:fldChar w:fldCharType="begin"/>
      </w:r>
      <w:r>
        <w:instrText xml:space="preserve"> SEQ Graphique \* ARABIC </w:instrText>
      </w:r>
      <w:r>
        <w:fldChar w:fldCharType="separate"/>
      </w:r>
      <w:r w:rsidR="003F6757">
        <w:t>14</w:t>
      </w:r>
      <w:r>
        <w:fldChar w:fldCharType="end"/>
      </w:r>
      <w:r>
        <w:t xml:space="preserve"> Top 50 des entreprises du secteur conseil en systèmes et logiciels informatiques par taille de bilan, chiffre d'affairtes et effectif</w:t>
      </w:r>
    </w:p>
    <w:p w:rsidR="003D208F" w:rsidRPr="00D26C17" w:rsidRDefault="003D208F" w:rsidP="00306898">
      <w:pPr>
        <w:pStyle w:val="NoSpacing"/>
      </w:pPr>
    </w:p>
    <w:p w:rsidR="003D208F" w:rsidRDefault="00306898" w:rsidP="003D208F">
      <w:pPr>
        <w:pStyle w:val="Graph"/>
        <w:keepNext/>
      </w:pPr>
      <w:r w:rsidRPr="008F031E">
        <w:drawing>
          <wp:inline distT="0" distB="0" distL="0" distR="0" wp14:anchorId="50FD925F" wp14:editId="2AE52346">
            <wp:extent cx="3954483" cy="2593219"/>
            <wp:effectExtent l="0" t="0" r="0" b="0"/>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970811" cy="2603926"/>
                    </a:xfrm>
                    <a:prstGeom prst="rect">
                      <a:avLst/>
                    </a:prstGeom>
                    <a:noFill/>
                    <a:ln w="9525">
                      <a:noFill/>
                      <a:miter lim="800000"/>
                      <a:headEnd/>
                      <a:tailEnd/>
                    </a:ln>
                  </pic:spPr>
                </pic:pic>
              </a:graphicData>
            </a:graphic>
          </wp:inline>
        </w:drawing>
      </w:r>
    </w:p>
    <w:p w:rsidR="00306898" w:rsidRPr="003D208F" w:rsidRDefault="003D208F" w:rsidP="003D208F">
      <w:pPr>
        <w:pStyle w:val="Graph"/>
      </w:pPr>
      <w:r>
        <w:t xml:space="preserve">Graphique </w:t>
      </w:r>
      <w:r>
        <w:fldChar w:fldCharType="begin"/>
      </w:r>
      <w:r>
        <w:instrText xml:space="preserve"> SEQ Graphique \* ARABIC </w:instrText>
      </w:r>
      <w:r>
        <w:fldChar w:fldCharType="separate"/>
      </w:r>
      <w:r w:rsidR="003F6757">
        <w:t>15</w:t>
      </w:r>
      <w:r>
        <w:fldChar w:fldCharType="end"/>
      </w:r>
      <w:r>
        <w:t xml:space="preserve"> Evolution de la taille minimale optimale du secteur conseil en systèmes et logiciels informatiques entre 2004 et 2014 en France avec la méthode Weiss</w:t>
      </w:r>
    </w:p>
    <w:p w:rsidR="00306898" w:rsidRPr="003D208F" w:rsidRDefault="00306898" w:rsidP="00306898">
      <w:pPr>
        <w:pStyle w:val="NoSpacing"/>
      </w:pPr>
    </w:p>
    <w:p w:rsidR="00A71EB6" w:rsidRDefault="00A71EB6" w:rsidP="00A71EB6">
      <w:pPr>
        <w:pStyle w:val="Graph"/>
        <w:keepNext/>
      </w:pPr>
      <w:r>
        <w:drawing>
          <wp:inline distT="0" distB="0" distL="0" distR="0" wp14:anchorId="09EF7742" wp14:editId="42BECEB5">
            <wp:extent cx="4963314" cy="22147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538" t="4893" r="10344" b="39785"/>
                    <a:stretch/>
                  </pic:blipFill>
                  <pic:spPr bwMode="auto">
                    <a:xfrm>
                      <a:off x="0" y="0"/>
                      <a:ext cx="4964496" cy="2215276"/>
                    </a:xfrm>
                    <a:prstGeom prst="rect">
                      <a:avLst/>
                    </a:prstGeom>
                    <a:ln w="6350">
                      <a:noFill/>
                    </a:ln>
                    <a:extLst>
                      <a:ext uri="{53640926-AAD7-44D8-BBD7-CCE9431645EC}">
                        <a14:shadowObscured xmlns:a14="http://schemas.microsoft.com/office/drawing/2010/main"/>
                      </a:ext>
                    </a:extLst>
                  </pic:spPr>
                </pic:pic>
              </a:graphicData>
            </a:graphic>
          </wp:inline>
        </w:drawing>
      </w:r>
    </w:p>
    <w:p w:rsidR="00306898" w:rsidRPr="003D208F" w:rsidRDefault="00A71EB6" w:rsidP="006F5CDB">
      <w:pPr>
        <w:pStyle w:val="Graph"/>
      </w:pPr>
      <w:r>
        <w:t xml:space="preserve">Graphique </w:t>
      </w:r>
      <w:r>
        <w:fldChar w:fldCharType="begin"/>
      </w:r>
      <w:r>
        <w:instrText xml:space="preserve"> SEQ Graphique \* ARABIC </w:instrText>
      </w:r>
      <w:r>
        <w:fldChar w:fldCharType="separate"/>
      </w:r>
      <w:r w:rsidR="003F6757">
        <w:t>16</w:t>
      </w:r>
      <w:r>
        <w:fldChar w:fldCharType="end"/>
      </w:r>
      <w:r>
        <w:t xml:space="preserve"> Tableau de bord - concentration du secteu</w:t>
      </w:r>
      <w:r w:rsidR="006F5CDB">
        <w:t>r en 2014</w:t>
      </w:r>
    </w:p>
    <w:p w:rsidR="00BF2A3F" w:rsidRPr="00770243" w:rsidRDefault="00BF2A3F">
      <w:pPr>
        <w:tabs>
          <w:tab w:val="left" w:pos="5520"/>
        </w:tabs>
        <w:ind w:left="0"/>
      </w:pPr>
    </w:p>
    <w:sectPr w:rsidR="00BF2A3F" w:rsidRPr="00770243" w:rsidSect="009E6B17">
      <w:headerReference w:type="default" r:id="rId27"/>
      <w:headerReference w:type="first" r:id="rId28"/>
      <w:pgSz w:w="11906" w:h="16838"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9E0" w:rsidRDefault="003A69E0" w:rsidP="00AF22F5">
      <w:r>
        <w:separator/>
      </w:r>
    </w:p>
  </w:endnote>
  <w:endnote w:type="continuationSeparator" w:id="0">
    <w:p w:rsidR="003A69E0" w:rsidRDefault="003A69E0" w:rsidP="00AF2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9E0" w:rsidRDefault="003A69E0" w:rsidP="00AF22F5">
      <w:r>
        <w:separator/>
      </w:r>
    </w:p>
  </w:footnote>
  <w:footnote w:type="continuationSeparator" w:id="0">
    <w:p w:rsidR="003A69E0" w:rsidRDefault="003A69E0" w:rsidP="00AF22F5">
      <w:r>
        <w:continuationSeparator/>
      </w:r>
    </w:p>
  </w:footnote>
  <w:footnote w:id="1">
    <w:p w:rsidR="00E5131F" w:rsidRDefault="00E5131F" w:rsidP="00A60506">
      <w:pPr>
        <w:pStyle w:val="FootnoteText"/>
      </w:pPr>
      <w:r>
        <w:rPr>
          <w:rStyle w:val="FootnoteReference"/>
        </w:rPr>
        <w:footnoteRef/>
      </w:r>
      <w:r>
        <w:t xml:space="preserve"> Les chiffres sur les grandes entreprises sont à prendre avec réserve dans cette étude car ces entreprises sont généralement diversifiées sur les autres secteurs des services informatiques et ne font pas que du conseil en systèmes et logiciels informatiques même si c’est leur activité principale. En effet, nous n’avons pas analysé les rapports de gestion de ces grandes entreprises pour essayer de ventiler leur chiffre d’affaire entre les différentes activités. Les plus petit</w:t>
      </w:r>
      <w:r w:rsidR="00B53BF3">
        <w:t>e</w:t>
      </w:r>
      <w:r>
        <w:t xml:space="preserve">s entreprise, sont généralement centrées sur leur activité principale donc le problème ne se pose pas même si on n’a pas accès à leur comptabilité analytique (si elles en ont une déjà). </w:t>
      </w:r>
    </w:p>
  </w:footnote>
  <w:footnote w:id="2">
    <w:p w:rsidR="00B53BF3" w:rsidRDefault="00B53BF3">
      <w:pPr>
        <w:pStyle w:val="FootnoteText"/>
      </w:pPr>
      <w:r>
        <w:rPr>
          <w:rStyle w:val="FootnoteReference"/>
        </w:rPr>
        <w:footnoteRef/>
      </w:r>
      <w:r>
        <w:t xml:space="preserve"> Cf. </w:t>
      </w:r>
      <w:r>
        <w:fldChar w:fldCharType="begin"/>
      </w:r>
      <w:r>
        <w:instrText xml:space="preserve"> REF _Ref446899307 \h </w:instrText>
      </w:r>
      <w:r>
        <w:fldChar w:fldCharType="separate"/>
      </w:r>
      <w:r w:rsidR="003F6757">
        <w:t xml:space="preserve">Graphique </w:t>
      </w:r>
      <w:r w:rsidR="003F6757">
        <w:rPr>
          <w:noProof/>
        </w:rPr>
        <w:t>3</w:t>
      </w:r>
      <w:r>
        <w:fldChar w:fldCharType="end"/>
      </w:r>
    </w:p>
  </w:footnote>
  <w:footnote w:id="3">
    <w:p w:rsidR="009F380A" w:rsidRDefault="009F380A" w:rsidP="009F380A">
      <w:pPr>
        <w:pStyle w:val="FootnoteText"/>
      </w:pPr>
      <w:r>
        <w:rPr>
          <w:rStyle w:val="FootnoteReference"/>
        </w:rPr>
        <w:footnoteRef/>
      </w:r>
      <w:r>
        <w:t xml:space="preserve"> Nous le noterons comme hypothèse à vérifier dans nos prochaines études. </w:t>
      </w:r>
    </w:p>
  </w:footnote>
  <w:footnote w:id="4">
    <w:p w:rsidR="00E5131F" w:rsidRDefault="00E5131F" w:rsidP="00501BB7">
      <w:pPr>
        <w:pStyle w:val="FootnoteText"/>
      </w:pPr>
      <w:r>
        <w:rPr>
          <w:rStyle w:val="FootnoteReference"/>
        </w:rPr>
        <w:footnoteRef/>
      </w:r>
      <w:r>
        <w:t xml:space="preserve"> Secteur du conseil systèmes et logiciels informatiques. </w:t>
      </w:r>
    </w:p>
  </w:footnote>
  <w:footnote w:id="5">
    <w:p w:rsidR="00E5131F" w:rsidRDefault="00E5131F" w:rsidP="00D86FE4">
      <w:pPr>
        <w:pStyle w:val="FootnoteText"/>
      </w:pPr>
      <w:r>
        <w:rPr>
          <w:rStyle w:val="FootnoteReference"/>
        </w:rPr>
        <w:footnoteRef/>
      </w:r>
      <w:r>
        <w:t xml:space="preserve"> Les entreprises du service informatique sont traditionnellement appelées les sociétés de service en ingénierie informatique (SSII). On les appelle maintenant les entreprises de service du numérique (ESN). </w:t>
      </w:r>
    </w:p>
  </w:footnote>
  <w:footnote w:id="6">
    <w:p w:rsidR="00E5131F" w:rsidRDefault="00E5131F">
      <w:pPr>
        <w:pStyle w:val="FootnoteText"/>
      </w:pPr>
      <w:r>
        <w:rPr>
          <w:rStyle w:val="FootnoteReference"/>
        </w:rPr>
        <w:footnoteRef/>
      </w:r>
      <w:r>
        <w:t xml:space="preserve"> Cela explique l’existence TMO (Taille Minimale Optimale) dans ce secteur. </w:t>
      </w:r>
    </w:p>
  </w:footnote>
  <w:footnote w:id="7">
    <w:p w:rsidR="00E5131F" w:rsidRDefault="00E5131F">
      <w:pPr>
        <w:pStyle w:val="FootnoteText"/>
      </w:pPr>
      <w:r>
        <w:rPr>
          <w:rStyle w:val="FootnoteReference"/>
        </w:rPr>
        <w:footnoteRef/>
      </w:r>
      <w:r w:rsidR="00F10D61">
        <w:t xml:space="preserve"> Nous utiliserons</w:t>
      </w:r>
      <w:r>
        <w:t xml:space="preserve"> cette hypothèse plus tard dans le paragraphe </w:t>
      </w:r>
      <w:r>
        <w:fldChar w:fldCharType="begin"/>
      </w:r>
      <w:r>
        <w:instrText xml:space="preserve"> REF _Ref446875481 \r \h </w:instrText>
      </w:r>
      <w:r>
        <w:fldChar w:fldCharType="separate"/>
      </w:r>
      <w:r w:rsidR="003F6757">
        <w:rPr>
          <w:cs/>
        </w:rPr>
        <w:t>‎</w:t>
      </w:r>
      <w:r w:rsidR="003F6757">
        <w:t>4.2</w:t>
      </w:r>
      <w:r>
        <w:fldChar w:fldCharType="end"/>
      </w:r>
      <w:r>
        <w:t xml:space="preserve"> pour privilégier la méthode Weiss plutôt que </w:t>
      </w:r>
      <w:proofErr w:type="spellStart"/>
      <w:r>
        <w:t>Comanor</w:t>
      </w:r>
      <w:proofErr w:type="spellEnd"/>
      <w:r>
        <w:t xml:space="preserve">-Wilson pour déterminer la TMO.  </w:t>
      </w:r>
    </w:p>
  </w:footnote>
  <w:footnote w:id="8">
    <w:p w:rsidR="00EF74AE" w:rsidRDefault="00EF74AE">
      <w:pPr>
        <w:pStyle w:val="FootnoteText"/>
      </w:pPr>
      <w:r>
        <w:rPr>
          <w:rStyle w:val="FootnoteReference"/>
        </w:rPr>
        <w:footnoteRef/>
      </w:r>
      <w:r>
        <w:t xml:space="preserve"> Il reste à savoir pourquoi se produit ce phénomène. </w:t>
      </w:r>
    </w:p>
  </w:footnote>
  <w:footnote w:id="9">
    <w:p w:rsidR="00E5131F" w:rsidRDefault="00E5131F" w:rsidP="00E57F43">
      <w:pPr>
        <w:pStyle w:val="FootnoteText"/>
      </w:pPr>
      <w:r>
        <w:rPr>
          <w:rStyle w:val="FootnoteReference"/>
        </w:rPr>
        <w:footnoteRef/>
      </w:r>
      <w:r>
        <w:t xml:space="preserve"> AP Management est un cabinet de conseil M&amp;A spécialisé dans le secteur IT. </w:t>
      </w:r>
    </w:p>
  </w:footnote>
  <w:footnote w:id="10">
    <w:p w:rsidR="00E5131F" w:rsidRDefault="00E5131F" w:rsidP="00A86955">
      <w:pPr>
        <w:pStyle w:val="FootnoteText"/>
      </w:pPr>
      <w:r>
        <w:rPr>
          <w:rStyle w:val="FootnoteReference"/>
        </w:rPr>
        <w:footnoteRef/>
      </w:r>
      <w:r>
        <w:t xml:space="preserve"> Direction générale de la compétitivité de l’industrie et des services.  </w:t>
      </w:r>
    </w:p>
  </w:footnote>
  <w:footnote w:id="11">
    <w:p w:rsidR="00E5131F" w:rsidRDefault="00E5131F">
      <w:pPr>
        <w:pStyle w:val="FootnoteText"/>
      </w:pPr>
      <w:r>
        <w:rPr>
          <w:rStyle w:val="FootnoteReference"/>
        </w:rPr>
        <w:footnoteRef/>
      </w:r>
      <w:r>
        <w:t xml:space="preserve"> Fond Unique Interministériel qui finance les projets labellisés par les pôles de compétitivité. </w:t>
      </w:r>
    </w:p>
  </w:footnote>
  <w:footnote w:id="12">
    <w:p w:rsidR="00E5131F" w:rsidRDefault="00E5131F">
      <w:pPr>
        <w:pStyle w:val="FootnoteText"/>
      </w:pPr>
      <w:r>
        <w:rPr>
          <w:rStyle w:val="FootnoteReference"/>
        </w:rPr>
        <w:footnoteRef/>
      </w:r>
      <w:r>
        <w:t xml:space="preserve"> Il reste à mesurer la sensibilité de ce secteur aux différents types de crises économiques. </w:t>
      </w:r>
    </w:p>
  </w:footnote>
  <w:footnote w:id="13">
    <w:p w:rsidR="00E5131F" w:rsidRDefault="00E5131F" w:rsidP="00A71EB6">
      <w:pPr>
        <w:pStyle w:val="FootnoteText"/>
      </w:pPr>
      <w:r>
        <w:rPr>
          <w:rStyle w:val="FootnoteReference"/>
        </w:rPr>
        <w:footnoteRef/>
      </w:r>
      <w:r>
        <w:t xml:space="preserve"> Selon l’approche de Weiss (1963) (cf. cours MOATI), la TMO correspond à la dimension de l’établissement produisant le 50</w:t>
      </w:r>
      <w:r>
        <w:rPr>
          <w:vertAlign w:val="superscript"/>
        </w:rPr>
        <w:t xml:space="preserve">ème </w:t>
      </w:r>
      <w:r>
        <w:t xml:space="preserve">pourcent de la production de la branche. </w:t>
      </w:r>
    </w:p>
  </w:footnote>
  <w:footnote w:id="14">
    <w:p w:rsidR="00E5131F" w:rsidRDefault="00E5131F" w:rsidP="002B5AF2">
      <w:pPr>
        <w:pStyle w:val="FootnoteText"/>
      </w:pPr>
      <w:r>
        <w:rPr>
          <w:rStyle w:val="FootnoteReference"/>
        </w:rPr>
        <w:footnoteRef/>
      </w:r>
      <w:r>
        <w:t xml:space="preserve"> Nous avons vu dans la 1</w:t>
      </w:r>
      <w:r w:rsidRPr="002B5AF2">
        <w:rPr>
          <w:vertAlign w:val="superscript"/>
        </w:rPr>
        <w:t>ère</w:t>
      </w:r>
      <w:r>
        <w:t xml:space="preserve"> fiche que le taux de croissance annuelle moyen de ce secteur est de 6,5%.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0" w:type="dxa"/>
        <w:right w:w="0" w:type="dxa"/>
      </w:tblCellMar>
      <w:tblLook w:val="0000" w:firstRow="0" w:lastRow="0" w:firstColumn="0" w:lastColumn="0" w:noHBand="0" w:noVBand="0"/>
    </w:tblPr>
    <w:tblGrid>
      <w:gridCol w:w="20"/>
      <w:gridCol w:w="9619"/>
      <w:gridCol w:w="142"/>
    </w:tblGrid>
    <w:tr w:rsidR="00E5131F" w:rsidRPr="00005D16" w:rsidTr="00B8400E">
      <w:trPr>
        <w:cantSplit/>
        <w:trHeight w:val="154"/>
      </w:trPr>
      <w:tc>
        <w:tcPr>
          <w:tcW w:w="20" w:type="dxa"/>
          <w:shd w:val="clear" w:color="auto" w:fill="auto"/>
          <w:vAlign w:val="center"/>
        </w:tcPr>
        <w:p w:rsidR="00E5131F" w:rsidRPr="00160060" w:rsidRDefault="003A69E0" w:rsidP="00AF22F5">
          <w:pPr>
            <w:rPr>
              <w:rFonts w:cs="Tahoma"/>
            </w:rPr>
          </w:pPr>
          <w:r>
            <w:rPr>
              <w:noProof/>
            </w:rPr>
            <w:pict>
              <v:rect id="Rectangle 2" o:spid="_x0000_s2049" style="position:absolute;left:0;text-align:left;margin-left:-25.6pt;margin-top:-329.75pt;width:18pt;height:114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" stroked="f">
                <v:fill color2="#fc0" rotate="t" focus="100%" type="gradient"/>
              </v:rect>
            </w:pict>
          </w:r>
        </w:p>
      </w:tc>
      <w:tc>
        <w:tcPr>
          <w:tcW w:w="9619" w:type="dxa"/>
          <w:vAlign w:val="center"/>
        </w:tcPr>
        <w:p w:rsidR="00E5131F" w:rsidRPr="00FA5187" w:rsidRDefault="00E5131F" w:rsidP="00993CAE">
          <w:pPr>
            <w:pStyle w:val="Heading9"/>
          </w:pPr>
          <w:r w:rsidRPr="00241E1F">
            <w:t xml:space="preserve">                                                </w:t>
          </w:r>
          <w:r>
            <w:t xml:space="preserve">    </w:t>
          </w:r>
          <w:r w:rsidRPr="00241E1F">
            <w:t xml:space="preserve"> </w:t>
          </w:r>
          <w:r w:rsidR="003A69E0">
            <w:fldChar w:fldCharType="begin"/>
          </w:r>
          <w:r w:rsidR="003A69E0">
            <w:instrText xml:space="preserve"> DOCPROPERTY  Client  \* MERGEFORMAT </w:instrText>
          </w:r>
          <w:r w:rsidR="003A69E0">
            <w:fldChar w:fldCharType="separate"/>
          </w:r>
          <w:r w:rsidR="003F6757">
            <w:t>CNAM et Université Paris Diderot</w:t>
          </w:r>
          <w:r w:rsidR="003A69E0">
            <w:fldChar w:fldCharType="end"/>
          </w:r>
          <w:r w:rsidRPr="00241E1F">
            <w:t xml:space="preserve"> - </w:t>
          </w:r>
          <w:r w:rsidR="003A69E0">
            <w:fldChar w:fldCharType="begin"/>
          </w:r>
          <w:r w:rsidR="003A69E0">
            <w:instrText xml:space="preserve"> DOCPROPERTY  Destination  \* MERGEFORMAT </w:instrText>
          </w:r>
          <w:r w:rsidR="003A69E0">
            <w:fldChar w:fldCharType="separate"/>
          </w:r>
          <w:r w:rsidR="003F6757">
            <w:t>EPT204</w:t>
          </w:r>
          <w:r w:rsidR="003A69E0">
            <w:fldChar w:fldCharType="end"/>
          </w:r>
          <w:r>
            <w:t xml:space="preserve"> – Analyse sectorielle - Fiche 2 : la structure </w:t>
          </w:r>
          <w:r w:rsidR="00993CAE">
            <w:t>–</w:t>
          </w:r>
          <w:r w:rsidRPr="00FA5187">
            <w:t xml:space="preserve"> </w:t>
          </w:r>
          <w:r w:rsidR="00993CAE">
            <w:t>mars 2016</w:t>
          </w:r>
        </w:p>
      </w:tc>
      <w:tc>
        <w:tcPr>
          <w:tcW w:w="142" w:type="dxa"/>
          <w:vAlign w:val="center"/>
        </w:tcPr>
        <w:p w:rsidR="00E5131F" w:rsidRPr="00B8400E" w:rsidRDefault="00E5131F" w:rsidP="00AF22F5"/>
      </w:tc>
    </w:tr>
  </w:tbl>
  <w:p w:rsidR="00E5131F" w:rsidRPr="00005D16" w:rsidRDefault="00E5131F" w:rsidP="00241E1F">
    <w:pPr>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31F" w:rsidRDefault="00E5131F">
    <w:pPr>
      <w:pStyle w:val="Header"/>
    </w:pPr>
    <w:r>
      <w:rPr>
        <w:noProof/>
      </w:rPr>
      <w:drawing>
        <wp:anchor distT="0" distB="0" distL="114300" distR="114300" simplePos="0" relativeHeight="251656704" behindDoc="0" locked="0" layoutInCell="1" allowOverlap="1" wp14:anchorId="3B88657E" wp14:editId="7AAA6232">
          <wp:simplePos x="0" y="0"/>
          <wp:positionH relativeFrom="column">
            <wp:posOffset>3656330</wp:posOffset>
          </wp:positionH>
          <wp:positionV relativeFrom="paragraph">
            <wp:posOffset>-106680</wp:posOffset>
          </wp:positionV>
          <wp:extent cx="2459355" cy="636270"/>
          <wp:effectExtent l="0" t="0" r="0" b="0"/>
          <wp:wrapSquare wrapText="bothSides"/>
          <wp:docPr id="93" name="Picture 93" descr="Logo_c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n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935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7ACAE4D6" wp14:editId="54B9D5FC">
          <wp:simplePos x="0" y="0"/>
          <wp:positionH relativeFrom="column">
            <wp:posOffset>-1270</wp:posOffset>
          </wp:positionH>
          <wp:positionV relativeFrom="paragraph">
            <wp:posOffset>-114935</wp:posOffset>
          </wp:positionV>
          <wp:extent cx="1772285" cy="717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of_Paris_Diderot_Universit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2285" cy="717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0A00"/>
    <w:multiLevelType w:val="hybridMultilevel"/>
    <w:tmpl w:val="9E8E27C8"/>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 w15:restartNumberingAfterBreak="0">
    <w:nsid w:val="0337115C"/>
    <w:multiLevelType w:val="multilevel"/>
    <w:tmpl w:val="5E8EFBC8"/>
    <w:styleLink w:val="ListePuces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C076F"/>
    <w:multiLevelType w:val="multilevel"/>
    <w:tmpl w:val="425066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lang w:val="fr-FR"/>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13805CBE"/>
    <w:multiLevelType w:val="hybridMultilevel"/>
    <w:tmpl w:val="67AA78C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4" w15:restartNumberingAfterBreak="0">
    <w:nsid w:val="236803C2"/>
    <w:multiLevelType w:val="hybridMultilevel"/>
    <w:tmpl w:val="9FF87FC6"/>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5" w15:restartNumberingAfterBreak="0">
    <w:nsid w:val="2D0D7E7D"/>
    <w:multiLevelType w:val="hybridMultilevel"/>
    <w:tmpl w:val="8BF82F58"/>
    <w:lvl w:ilvl="0" w:tplc="D7E063FE">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15:restartNumberingAfterBreak="0">
    <w:nsid w:val="2E1E789E"/>
    <w:multiLevelType w:val="hybridMultilevel"/>
    <w:tmpl w:val="4F4215AE"/>
    <w:lvl w:ilvl="0" w:tplc="082AB75C">
      <w:start w:val="1"/>
      <w:numFmt w:val="bullet"/>
      <w:lvlText w:val=""/>
      <w:lvlJc w:val="left"/>
      <w:pPr>
        <w:ind w:left="720" w:hanging="360"/>
      </w:pPr>
      <w:rPr>
        <w:rFonts w:ascii="Symbol" w:hAnsi="Symbol" w:hint="default"/>
      </w:rPr>
    </w:lvl>
    <w:lvl w:ilvl="1" w:tplc="D6F65396">
      <w:start w:val="1"/>
      <w:numFmt w:val="bullet"/>
      <w:lvlText w:val="o"/>
      <w:lvlJc w:val="left"/>
      <w:pPr>
        <w:ind w:left="1440" w:hanging="360"/>
      </w:pPr>
      <w:rPr>
        <w:rFonts w:ascii="Courier New" w:hAnsi="Courier New" w:hint="default"/>
      </w:rPr>
    </w:lvl>
    <w:lvl w:ilvl="2" w:tplc="17965620">
      <w:start w:val="1"/>
      <w:numFmt w:val="bullet"/>
      <w:lvlText w:val=""/>
      <w:lvlJc w:val="left"/>
      <w:pPr>
        <w:ind w:left="2160" w:hanging="360"/>
      </w:pPr>
      <w:rPr>
        <w:rFonts w:ascii="Wingdings" w:hAnsi="Wingdings" w:hint="default"/>
      </w:rPr>
    </w:lvl>
    <w:lvl w:ilvl="3" w:tplc="90EE89FE">
      <w:start w:val="1"/>
      <w:numFmt w:val="bullet"/>
      <w:lvlText w:val=""/>
      <w:lvlJc w:val="left"/>
      <w:pPr>
        <w:ind w:left="2880" w:hanging="360"/>
      </w:pPr>
      <w:rPr>
        <w:rFonts w:ascii="Symbol" w:hAnsi="Symbol" w:hint="default"/>
      </w:rPr>
    </w:lvl>
    <w:lvl w:ilvl="4" w:tplc="6032FCB2">
      <w:start w:val="1"/>
      <w:numFmt w:val="bullet"/>
      <w:lvlText w:val="o"/>
      <w:lvlJc w:val="left"/>
      <w:pPr>
        <w:ind w:left="3600" w:hanging="360"/>
      </w:pPr>
      <w:rPr>
        <w:rFonts w:ascii="Courier New" w:hAnsi="Courier New" w:hint="default"/>
      </w:rPr>
    </w:lvl>
    <w:lvl w:ilvl="5" w:tplc="D8D05DD4">
      <w:start w:val="1"/>
      <w:numFmt w:val="bullet"/>
      <w:lvlText w:val=""/>
      <w:lvlJc w:val="left"/>
      <w:pPr>
        <w:ind w:left="4320" w:hanging="360"/>
      </w:pPr>
      <w:rPr>
        <w:rFonts w:ascii="Wingdings" w:hAnsi="Wingdings" w:hint="default"/>
      </w:rPr>
    </w:lvl>
    <w:lvl w:ilvl="6" w:tplc="0F441418">
      <w:start w:val="1"/>
      <w:numFmt w:val="bullet"/>
      <w:lvlText w:val=""/>
      <w:lvlJc w:val="left"/>
      <w:pPr>
        <w:ind w:left="5040" w:hanging="360"/>
      </w:pPr>
      <w:rPr>
        <w:rFonts w:ascii="Symbol" w:hAnsi="Symbol" w:hint="default"/>
      </w:rPr>
    </w:lvl>
    <w:lvl w:ilvl="7" w:tplc="5BE604FC">
      <w:start w:val="1"/>
      <w:numFmt w:val="bullet"/>
      <w:lvlText w:val="o"/>
      <w:lvlJc w:val="left"/>
      <w:pPr>
        <w:ind w:left="5760" w:hanging="360"/>
      </w:pPr>
      <w:rPr>
        <w:rFonts w:ascii="Courier New" w:hAnsi="Courier New" w:hint="default"/>
      </w:rPr>
    </w:lvl>
    <w:lvl w:ilvl="8" w:tplc="A9246A6A">
      <w:start w:val="1"/>
      <w:numFmt w:val="bullet"/>
      <w:lvlText w:val=""/>
      <w:lvlJc w:val="left"/>
      <w:pPr>
        <w:ind w:left="6480" w:hanging="360"/>
      </w:pPr>
      <w:rPr>
        <w:rFonts w:ascii="Wingdings" w:hAnsi="Wingdings" w:hint="default"/>
      </w:rPr>
    </w:lvl>
  </w:abstractNum>
  <w:abstractNum w:abstractNumId="7" w15:restartNumberingAfterBreak="0">
    <w:nsid w:val="32D25953"/>
    <w:multiLevelType w:val="multilevel"/>
    <w:tmpl w:val="DFEA9716"/>
    <w:styleLink w:val="ListePuces2"/>
    <w:lvl w:ilvl="0">
      <w:start w:val="1"/>
      <w:numFmt w:val="bullet"/>
      <w:lvlText w:val=""/>
      <w:lvlJc w:val="left"/>
      <w:pPr>
        <w:tabs>
          <w:tab w:val="num" w:pos="2138"/>
        </w:tabs>
        <w:ind w:left="2138" w:hanging="360"/>
      </w:pPr>
      <w:rPr>
        <w:rFonts w:ascii="Wingdings" w:hAnsi="Wingdings"/>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8" w15:restartNumberingAfterBreak="0">
    <w:nsid w:val="3ADB10A6"/>
    <w:multiLevelType w:val="hybridMultilevel"/>
    <w:tmpl w:val="A828989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9" w15:restartNumberingAfterBreak="0">
    <w:nsid w:val="44A47D20"/>
    <w:multiLevelType w:val="hybridMultilevel"/>
    <w:tmpl w:val="2CC00B7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0" w15:restartNumberingAfterBreak="0">
    <w:nsid w:val="49C847FA"/>
    <w:multiLevelType w:val="singleLevel"/>
    <w:tmpl w:val="84D2D5B0"/>
    <w:lvl w:ilvl="0">
      <w:start w:val="1"/>
      <w:numFmt w:val="bullet"/>
      <w:pStyle w:val="NormalIndent"/>
      <w:lvlText w:val=""/>
      <w:lvlJc w:val="left"/>
      <w:pPr>
        <w:tabs>
          <w:tab w:val="num" w:pos="360"/>
        </w:tabs>
        <w:ind w:left="360" w:hanging="360"/>
      </w:pPr>
      <w:rPr>
        <w:rFonts w:ascii="Symbol" w:hAnsi="Symbol" w:cs="Times New Roman" w:hint="default"/>
      </w:rPr>
    </w:lvl>
  </w:abstractNum>
  <w:abstractNum w:abstractNumId="11" w15:restartNumberingAfterBreak="0">
    <w:nsid w:val="5E65050B"/>
    <w:multiLevelType w:val="hybridMultilevel"/>
    <w:tmpl w:val="472CDA4E"/>
    <w:lvl w:ilvl="0" w:tplc="18780662">
      <w:start w:val="6201"/>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2" w15:restartNumberingAfterBreak="0">
    <w:nsid w:val="65970C5B"/>
    <w:multiLevelType w:val="hybridMultilevel"/>
    <w:tmpl w:val="804E8FB4"/>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3" w15:restartNumberingAfterBreak="0">
    <w:nsid w:val="669066C1"/>
    <w:multiLevelType w:val="hybridMultilevel"/>
    <w:tmpl w:val="786AE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F5074F"/>
    <w:multiLevelType w:val="hybridMultilevel"/>
    <w:tmpl w:val="3232FFAC"/>
    <w:lvl w:ilvl="0" w:tplc="040C000B">
      <w:start w:val="1"/>
      <w:numFmt w:val="bullet"/>
      <w:lvlText w:val=""/>
      <w:lvlJc w:val="left"/>
      <w:pPr>
        <w:ind w:left="933" w:hanging="360"/>
      </w:pPr>
      <w:rPr>
        <w:rFonts w:ascii="Wingdings" w:hAnsi="Wingdings"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5" w15:restartNumberingAfterBreak="0">
    <w:nsid w:val="6CF71C4D"/>
    <w:multiLevelType w:val="hybridMultilevel"/>
    <w:tmpl w:val="68785208"/>
    <w:lvl w:ilvl="0" w:tplc="64EC4F9C">
      <w:start w:val="1"/>
      <w:numFmt w:val="bullet"/>
      <w:lvlText w:val="-"/>
      <w:lvlJc w:val="left"/>
      <w:pPr>
        <w:ind w:left="573" w:hanging="360"/>
      </w:pPr>
      <w:rPr>
        <w:rFonts w:ascii="Arial" w:eastAsia="Times New Roman" w:hAnsi="Arial" w:cs="Arial" w:hint="default"/>
      </w:rPr>
    </w:lvl>
    <w:lvl w:ilvl="1" w:tplc="040C0003" w:tentative="1">
      <w:start w:val="1"/>
      <w:numFmt w:val="bullet"/>
      <w:lvlText w:val="o"/>
      <w:lvlJc w:val="left"/>
      <w:pPr>
        <w:ind w:left="1293" w:hanging="360"/>
      </w:pPr>
      <w:rPr>
        <w:rFonts w:ascii="Courier New" w:hAnsi="Courier New" w:cs="Courier New" w:hint="default"/>
      </w:rPr>
    </w:lvl>
    <w:lvl w:ilvl="2" w:tplc="040C0005" w:tentative="1">
      <w:start w:val="1"/>
      <w:numFmt w:val="bullet"/>
      <w:lvlText w:val=""/>
      <w:lvlJc w:val="left"/>
      <w:pPr>
        <w:ind w:left="2013" w:hanging="360"/>
      </w:pPr>
      <w:rPr>
        <w:rFonts w:ascii="Wingdings" w:hAnsi="Wingdings" w:hint="default"/>
      </w:rPr>
    </w:lvl>
    <w:lvl w:ilvl="3" w:tplc="040C0001" w:tentative="1">
      <w:start w:val="1"/>
      <w:numFmt w:val="bullet"/>
      <w:lvlText w:val=""/>
      <w:lvlJc w:val="left"/>
      <w:pPr>
        <w:ind w:left="2733" w:hanging="360"/>
      </w:pPr>
      <w:rPr>
        <w:rFonts w:ascii="Symbol" w:hAnsi="Symbol" w:hint="default"/>
      </w:rPr>
    </w:lvl>
    <w:lvl w:ilvl="4" w:tplc="040C0003" w:tentative="1">
      <w:start w:val="1"/>
      <w:numFmt w:val="bullet"/>
      <w:lvlText w:val="o"/>
      <w:lvlJc w:val="left"/>
      <w:pPr>
        <w:ind w:left="3453" w:hanging="360"/>
      </w:pPr>
      <w:rPr>
        <w:rFonts w:ascii="Courier New" w:hAnsi="Courier New" w:cs="Courier New" w:hint="default"/>
      </w:rPr>
    </w:lvl>
    <w:lvl w:ilvl="5" w:tplc="040C0005" w:tentative="1">
      <w:start w:val="1"/>
      <w:numFmt w:val="bullet"/>
      <w:lvlText w:val=""/>
      <w:lvlJc w:val="left"/>
      <w:pPr>
        <w:ind w:left="4173" w:hanging="360"/>
      </w:pPr>
      <w:rPr>
        <w:rFonts w:ascii="Wingdings" w:hAnsi="Wingdings" w:hint="default"/>
      </w:rPr>
    </w:lvl>
    <w:lvl w:ilvl="6" w:tplc="040C0001" w:tentative="1">
      <w:start w:val="1"/>
      <w:numFmt w:val="bullet"/>
      <w:lvlText w:val=""/>
      <w:lvlJc w:val="left"/>
      <w:pPr>
        <w:ind w:left="4893" w:hanging="360"/>
      </w:pPr>
      <w:rPr>
        <w:rFonts w:ascii="Symbol" w:hAnsi="Symbol" w:hint="default"/>
      </w:rPr>
    </w:lvl>
    <w:lvl w:ilvl="7" w:tplc="040C0003" w:tentative="1">
      <w:start w:val="1"/>
      <w:numFmt w:val="bullet"/>
      <w:lvlText w:val="o"/>
      <w:lvlJc w:val="left"/>
      <w:pPr>
        <w:ind w:left="5613" w:hanging="360"/>
      </w:pPr>
      <w:rPr>
        <w:rFonts w:ascii="Courier New" w:hAnsi="Courier New" w:cs="Courier New" w:hint="default"/>
      </w:rPr>
    </w:lvl>
    <w:lvl w:ilvl="8" w:tplc="040C0005" w:tentative="1">
      <w:start w:val="1"/>
      <w:numFmt w:val="bullet"/>
      <w:lvlText w:val=""/>
      <w:lvlJc w:val="left"/>
      <w:pPr>
        <w:ind w:left="6333" w:hanging="360"/>
      </w:pPr>
      <w:rPr>
        <w:rFonts w:ascii="Wingdings" w:hAnsi="Wingdings" w:hint="default"/>
      </w:rPr>
    </w:lvl>
  </w:abstractNum>
  <w:abstractNum w:abstractNumId="16" w15:restartNumberingAfterBreak="0">
    <w:nsid w:val="7A030A39"/>
    <w:multiLevelType w:val="hybridMultilevel"/>
    <w:tmpl w:val="AC5260F8"/>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7" w15:restartNumberingAfterBreak="0">
    <w:nsid w:val="7DF74364"/>
    <w:multiLevelType w:val="hybridMultilevel"/>
    <w:tmpl w:val="2FC892D6"/>
    <w:lvl w:ilvl="0" w:tplc="A90A85E6">
      <w:start w:val="1"/>
      <w:numFmt w:val="bullet"/>
      <w:lvlText w:val=""/>
      <w:lvlJc w:val="left"/>
      <w:pPr>
        <w:ind w:left="720" w:hanging="360"/>
      </w:pPr>
      <w:rPr>
        <w:rFonts w:ascii="Symbol" w:hAnsi="Symbol" w:hint="default"/>
      </w:rPr>
    </w:lvl>
    <w:lvl w:ilvl="1" w:tplc="2E18CD26">
      <w:start w:val="1"/>
      <w:numFmt w:val="bullet"/>
      <w:lvlText w:val="o"/>
      <w:lvlJc w:val="left"/>
      <w:pPr>
        <w:ind w:left="1440" w:hanging="360"/>
      </w:pPr>
      <w:rPr>
        <w:rFonts w:ascii="Courier New" w:hAnsi="Courier New" w:hint="default"/>
      </w:rPr>
    </w:lvl>
    <w:lvl w:ilvl="2" w:tplc="E68E55D8">
      <w:start w:val="1"/>
      <w:numFmt w:val="bullet"/>
      <w:lvlText w:val=""/>
      <w:lvlJc w:val="left"/>
      <w:pPr>
        <w:ind w:left="2160" w:hanging="360"/>
      </w:pPr>
      <w:rPr>
        <w:rFonts w:ascii="Wingdings" w:hAnsi="Wingdings" w:hint="default"/>
      </w:rPr>
    </w:lvl>
    <w:lvl w:ilvl="3" w:tplc="C966CD60">
      <w:start w:val="1"/>
      <w:numFmt w:val="bullet"/>
      <w:lvlText w:val=""/>
      <w:lvlJc w:val="left"/>
      <w:pPr>
        <w:ind w:left="2880" w:hanging="360"/>
      </w:pPr>
      <w:rPr>
        <w:rFonts w:ascii="Symbol" w:hAnsi="Symbol" w:hint="default"/>
      </w:rPr>
    </w:lvl>
    <w:lvl w:ilvl="4" w:tplc="87CE7130">
      <w:start w:val="1"/>
      <w:numFmt w:val="bullet"/>
      <w:lvlText w:val="o"/>
      <w:lvlJc w:val="left"/>
      <w:pPr>
        <w:ind w:left="3600" w:hanging="360"/>
      </w:pPr>
      <w:rPr>
        <w:rFonts w:ascii="Courier New" w:hAnsi="Courier New" w:hint="default"/>
      </w:rPr>
    </w:lvl>
    <w:lvl w:ilvl="5" w:tplc="A08CA8EA">
      <w:start w:val="1"/>
      <w:numFmt w:val="bullet"/>
      <w:lvlText w:val=""/>
      <w:lvlJc w:val="left"/>
      <w:pPr>
        <w:ind w:left="4320" w:hanging="360"/>
      </w:pPr>
      <w:rPr>
        <w:rFonts w:ascii="Wingdings" w:hAnsi="Wingdings" w:hint="default"/>
      </w:rPr>
    </w:lvl>
    <w:lvl w:ilvl="6" w:tplc="A3B26C98">
      <w:start w:val="1"/>
      <w:numFmt w:val="bullet"/>
      <w:lvlText w:val=""/>
      <w:lvlJc w:val="left"/>
      <w:pPr>
        <w:ind w:left="5040" w:hanging="360"/>
      </w:pPr>
      <w:rPr>
        <w:rFonts w:ascii="Symbol" w:hAnsi="Symbol" w:hint="default"/>
      </w:rPr>
    </w:lvl>
    <w:lvl w:ilvl="7" w:tplc="9168C5E6">
      <w:start w:val="1"/>
      <w:numFmt w:val="bullet"/>
      <w:lvlText w:val="o"/>
      <w:lvlJc w:val="left"/>
      <w:pPr>
        <w:ind w:left="5760" w:hanging="360"/>
      </w:pPr>
      <w:rPr>
        <w:rFonts w:ascii="Courier New" w:hAnsi="Courier New" w:hint="default"/>
      </w:rPr>
    </w:lvl>
    <w:lvl w:ilvl="8" w:tplc="7ABCDCA2">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10"/>
  </w:num>
  <w:num w:numId="5">
    <w:abstractNumId w:val="12"/>
  </w:num>
  <w:num w:numId="6">
    <w:abstractNumId w:val="14"/>
  </w:num>
  <w:num w:numId="7">
    <w:abstractNumId w:val="8"/>
  </w:num>
  <w:num w:numId="8">
    <w:abstractNumId w:val="3"/>
  </w:num>
  <w:num w:numId="9">
    <w:abstractNumId w:val="9"/>
  </w:num>
  <w:num w:numId="10">
    <w:abstractNumId w:val="16"/>
  </w:num>
  <w:num w:numId="11">
    <w:abstractNumId w:val="0"/>
  </w:num>
  <w:num w:numId="12">
    <w:abstractNumId w:val="4"/>
  </w:num>
  <w:num w:numId="13">
    <w:abstractNumId w:val="15"/>
  </w:num>
  <w:num w:numId="14">
    <w:abstractNumId w:val="13"/>
  </w:num>
  <w:num w:numId="15">
    <w:abstractNumId w:val="2"/>
  </w:num>
  <w:num w:numId="16">
    <w:abstractNumId w:val="2"/>
  </w:num>
  <w:num w:numId="17">
    <w:abstractNumId w:val="5"/>
  </w:num>
  <w:num w:numId="18">
    <w:abstractNumId w:val="6"/>
  </w:num>
  <w:num w:numId="19">
    <w:abstractNumId w:val="17"/>
  </w:num>
  <w:num w:numId="2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3FE"/>
    <w:rsid w:val="00005B1D"/>
    <w:rsid w:val="00005D16"/>
    <w:rsid w:val="000065E0"/>
    <w:rsid w:val="00006B9C"/>
    <w:rsid w:val="00006C11"/>
    <w:rsid w:val="000123F4"/>
    <w:rsid w:val="00012E75"/>
    <w:rsid w:val="000136C2"/>
    <w:rsid w:val="000137A4"/>
    <w:rsid w:val="00017D4C"/>
    <w:rsid w:val="00022E35"/>
    <w:rsid w:val="0002342B"/>
    <w:rsid w:val="00023B5D"/>
    <w:rsid w:val="00024793"/>
    <w:rsid w:val="000247C1"/>
    <w:rsid w:val="0002600E"/>
    <w:rsid w:val="00031A5F"/>
    <w:rsid w:val="000324E5"/>
    <w:rsid w:val="00036B30"/>
    <w:rsid w:val="00040AF4"/>
    <w:rsid w:val="00041825"/>
    <w:rsid w:val="00042653"/>
    <w:rsid w:val="00043089"/>
    <w:rsid w:val="0004473C"/>
    <w:rsid w:val="000459C8"/>
    <w:rsid w:val="00045CC4"/>
    <w:rsid w:val="00051C12"/>
    <w:rsid w:val="0005274C"/>
    <w:rsid w:val="00052F77"/>
    <w:rsid w:val="00053F7C"/>
    <w:rsid w:val="0005560A"/>
    <w:rsid w:val="000610B6"/>
    <w:rsid w:val="00063FDA"/>
    <w:rsid w:val="00064CA3"/>
    <w:rsid w:val="000653B2"/>
    <w:rsid w:val="00066D92"/>
    <w:rsid w:val="0006733C"/>
    <w:rsid w:val="00070210"/>
    <w:rsid w:val="00071146"/>
    <w:rsid w:val="00071A90"/>
    <w:rsid w:val="00074CEC"/>
    <w:rsid w:val="00075411"/>
    <w:rsid w:val="00075C46"/>
    <w:rsid w:val="00075F47"/>
    <w:rsid w:val="00076ADA"/>
    <w:rsid w:val="00076C22"/>
    <w:rsid w:val="00077FD2"/>
    <w:rsid w:val="0008181C"/>
    <w:rsid w:val="000848B7"/>
    <w:rsid w:val="00090890"/>
    <w:rsid w:val="000917A7"/>
    <w:rsid w:val="00095C98"/>
    <w:rsid w:val="00096829"/>
    <w:rsid w:val="000A3C40"/>
    <w:rsid w:val="000A5669"/>
    <w:rsid w:val="000A6693"/>
    <w:rsid w:val="000B02CB"/>
    <w:rsid w:val="000B36B1"/>
    <w:rsid w:val="000B37C5"/>
    <w:rsid w:val="000B3C18"/>
    <w:rsid w:val="000B5BC0"/>
    <w:rsid w:val="000B6BE7"/>
    <w:rsid w:val="000B767B"/>
    <w:rsid w:val="000C2B17"/>
    <w:rsid w:val="000C2CD0"/>
    <w:rsid w:val="000C30BC"/>
    <w:rsid w:val="000C5761"/>
    <w:rsid w:val="000C5DD0"/>
    <w:rsid w:val="000C6BE6"/>
    <w:rsid w:val="000D395C"/>
    <w:rsid w:val="000D7207"/>
    <w:rsid w:val="000D7BB1"/>
    <w:rsid w:val="000E024F"/>
    <w:rsid w:val="000E049C"/>
    <w:rsid w:val="000E23C1"/>
    <w:rsid w:val="000E275F"/>
    <w:rsid w:val="000E29AF"/>
    <w:rsid w:val="000E2E27"/>
    <w:rsid w:val="000E542B"/>
    <w:rsid w:val="000E7844"/>
    <w:rsid w:val="000E7D8A"/>
    <w:rsid w:val="000F5FBB"/>
    <w:rsid w:val="00101818"/>
    <w:rsid w:val="00101F63"/>
    <w:rsid w:val="00103731"/>
    <w:rsid w:val="00103DF4"/>
    <w:rsid w:val="00116E6C"/>
    <w:rsid w:val="0011755B"/>
    <w:rsid w:val="00120BFE"/>
    <w:rsid w:val="001221B4"/>
    <w:rsid w:val="00122861"/>
    <w:rsid w:val="00124B4C"/>
    <w:rsid w:val="00125B26"/>
    <w:rsid w:val="0012697C"/>
    <w:rsid w:val="00130D05"/>
    <w:rsid w:val="00132882"/>
    <w:rsid w:val="001329E0"/>
    <w:rsid w:val="00133020"/>
    <w:rsid w:val="001331F4"/>
    <w:rsid w:val="00135466"/>
    <w:rsid w:val="00136830"/>
    <w:rsid w:val="00140757"/>
    <w:rsid w:val="00140DC2"/>
    <w:rsid w:val="00140E6A"/>
    <w:rsid w:val="00141DC1"/>
    <w:rsid w:val="001426D4"/>
    <w:rsid w:val="00142E96"/>
    <w:rsid w:val="00144A62"/>
    <w:rsid w:val="00145C6B"/>
    <w:rsid w:val="00151B5F"/>
    <w:rsid w:val="00153F17"/>
    <w:rsid w:val="00154B2F"/>
    <w:rsid w:val="00155A75"/>
    <w:rsid w:val="00155C82"/>
    <w:rsid w:val="0016087F"/>
    <w:rsid w:val="00164932"/>
    <w:rsid w:val="0016567A"/>
    <w:rsid w:val="00170AB7"/>
    <w:rsid w:val="00171065"/>
    <w:rsid w:val="00171221"/>
    <w:rsid w:val="00171469"/>
    <w:rsid w:val="00171F96"/>
    <w:rsid w:val="0017280C"/>
    <w:rsid w:val="00174175"/>
    <w:rsid w:val="0017531F"/>
    <w:rsid w:val="001762CA"/>
    <w:rsid w:val="00180438"/>
    <w:rsid w:val="00180769"/>
    <w:rsid w:val="001818D8"/>
    <w:rsid w:val="00182629"/>
    <w:rsid w:val="00184C77"/>
    <w:rsid w:val="00185B47"/>
    <w:rsid w:val="00187018"/>
    <w:rsid w:val="0018723F"/>
    <w:rsid w:val="00187671"/>
    <w:rsid w:val="00187FE6"/>
    <w:rsid w:val="00190599"/>
    <w:rsid w:val="00190778"/>
    <w:rsid w:val="001961B5"/>
    <w:rsid w:val="001967D1"/>
    <w:rsid w:val="001A13CC"/>
    <w:rsid w:val="001A16CE"/>
    <w:rsid w:val="001A20B9"/>
    <w:rsid w:val="001A57ED"/>
    <w:rsid w:val="001A7F5A"/>
    <w:rsid w:val="001B2AD3"/>
    <w:rsid w:val="001B5554"/>
    <w:rsid w:val="001B7C09"/>
    <w:rsid w:val="001C1802"/>
    <w:rsid w:val="001C1EC3"/>
    <w:rsid w:val="001C2798"/>
    <w:rsid w:val="001C44C6"/>
    <w:rsid w:val="001C5FC3"/>
    <w:rsid w:val="001C65BE"/>
    <w:rsid w:val="001C78D7"/>
    <w:rsid w:val="001D26FD"/>
    <w:rsid w:val="001D292B"/>
    <w:rsid w:val="001D45A0"/>
    <w:rsid w:val="001E01B2"/>
    <w:rsid w:val="001E20BF"/>
    <w:rsid w:val="001E3A76"/>
    <w:rsid w:val="001E40B3"/>
    <w:rsid w:val="001E417F"/>
    <w:rsid w:val="001E6B89"/>
    <w:rsid w:val="001F4562"/>
    <w:rsid w:val="001F6645"/>
    <w:rsid w:val="001F6A4F"/>
    <w:rsid w:val="001F738D"/>
    <w:rsid w:val="001F7756"/>
    <w:rsid w:val="001F77E9"/>
    <w:rsid w:val="0020024E"/>
    <w:rsid w:val="002048FA"/>
    <w:rsid w:val="00205619"/>
    <w:rsid w:val="00205759"/>
    <w:rsid w:val="00207E5C"/>
    <w:rsid w:val="00216A69"/>
    <w:rsid w:val="00220225"/>
    <w:rsid w:val="00222FC8"/>
    <w:rsid w:val="00224BB5"/>
    <w:rsid w:val="00226D25"/>
    <w:rsid w:val="0023267B"/>
    <w:rsid w:val="002333FE"/>
    <w:rsid w:val="00234915"/>
    <w:rsid w:val="00236259"/>
    <w:rsid w:val="00237F19"/>
    <w:rsid w:val="00241E1F"/>
    <w:rsid w:val="00246865"/>
    <w:rsid w:val="00246F52"/>
    <w:rsid w:val="00247D1C"/>
    <w:rsid w:val="00250A6F"/>
    <w:rsid w:val="00251576"/>
    <w:rsid w:val="00251678"/>
    <w:rsid w:val="00251DED"/>
    <w:rsid w:val="00252B8D"/>
    <w:rsid w:val="00253E71"/>
    <w:rsid w:val="002542C0"/>
    <w:rsid w:val="00254514"/>
    <w:rsid w:val="00254921"/>
    <w:rsid w:val="00257B77"/>
    <w:rsid w:val="0026533B"/>
    <w:rsid w:val="00266F27"/>
    <w:rsid w:val="00270303"/>
    <w:rsid w:val="00270A1A"/>
    <w:rsid w:val="00272126"/>
    <w:rsid w:val="00272B30"/>
    <w:rsid w:val="002738D5"/>
    <w:rsid w:val="00273DAB"/>
    <w:rsid w:val="0027407E"/>
    <w:rsid w:val="00274E33"/>
    <w:rsid w:val="002755A6"/>
    <w:rsid w:val="00276869"/>
    <w:rsid w:val="00281DD5"/>
    <w:rsid w:val="0028203A"/>
    <w:rsid w:val="0028482B"/>
    <w:rsid w:val="00287705"/>
    <w:rsid w:val="00287BC9"/>
    <w:rsid w:val="00292C87"/>
    <w:rsid w:val="00295447"/>
    <w:rsid w:val="00295E40"/>
    <w:rsid w:val="002A2F5D"/>
    <w:rsid w:val="002A3D33"/>
    <w:rsid w:val="002A3EC7"/>
    <w:rsid w:val="002A7AB7"/>
    <w:rsid w:val="002A7BCA"/>
    <w:rsid w:val="002B1915"/>
    <w:rsid w:val="002B1F23"/>
    <w:rsid w:val="002B4237"/>
    <w:rsid w:val="002B5AF2"/>
    <w:rsid w:val="002B660B"/>
    <w:rsid w:val="002B6A00"/>
    <w:rsid w:val="002B6AE5"/>
    <w:rsid w:val="002B7103"/>
    <w:rsid w:val="002B7675"/>
    <w:rsid w:val="002D0290"/>
    <w:rsid w:val="002D2BBC"/>
    <w:rsid w:val="002D4BEB"/>
    <w:rsid w:val="002D5179"/>
    <w:rsid w:val="002D7F39"/>
    <w:rsid w:val="002E2FF1"/>
    <w:rsid w:val="002E3E6C"/>
    <w:rsid w:val="002E4582"/>
    <w:rsid w:val="002E6456"/>
    <w:rsid w:val="002E78E4"/>
    <w:rsid w:val="002F0FB4"/>
    <w:rsid w:val="002F2351"/>
    <w:rsid w:val="002F4D1B"/>
    <w:rsid w:val="00304DDD"/>
    <w:rsid w:val="00306898"/>
    <w:rsid w:val="00306FB9"/>
    <w:rsid w:val="00307FE4"/>
    <w:rsid w:val="003116D1"/>
    <w:rsid w:val="003142AC"/>
    <w:rsid w:val="00314D04"/>
    <w:rsid w:val="0032018A"/>
    <w:rsid w:val="00321148"/>
    <w:rsid w:val="00323EEE"/>
    <w:rsid w:val="00323F45"/>
    <w:rsid w:val="00324624"/>
    <w:rsid w:val="0032754A"/>
    <w:rsid w:val="00331A06"/>
    <w:rsid w:val="003329BC"/>
    <w:rsid w:val="00333A04"/>
    <w:rsid w:val="003342F3"/>
    <w:rsid w:val="00335A7B"/>
    <w:rsid w:val="003372EF"/>
    <w:rsid w:val="003403A6"/>
    <w:rsid w:val="00340FF8"/>
    <w:rsid w:val="00342DD0"/>
    <w:rsid w:val="0034465B"/>
    <w:rsid w:val="00344A8F"/>
    <w:rsid w:val="00345166"/>
    <w:rsid w:val="00347814"/>
    <w:rsid w:val="00347A3B"/>
    <w:rsid w:val="00350463"/>
    <w:rsid w:val="003505CF"/>
    <w:rsid w:val="003525F0"/>
    <w:rsid w:val="003556DB"/>
    <w:rsid w:val="00355F2A"/>
    <w:rsid w:val="003575EF"/>
    <w:rsid w:val="00361CE5"/>
    <w:rsid w:val="00362396"/>
    <w:rsid w:val="003627E9"/>
    <w:rsid w:val="00364A5D"/>
    <w:rsid w:val="00364D6A"/>
    <w:rsid w:val="00365B22"/>
    <w:rsid w:val="003673E1"/>
    <w:rsid w:val="00370B53"/>
    <w:rsid w:val="00374692"/>
    <w:rsid w:val="00375098"/>
    <w:rsid w:val="003755FC"/>
    <w:rsid w:val="00375EAF"/>
    <w:rsid w:val="003802A8"/>
    <w:rsid w:val="00382B8F"/>
    <w:rsid w:val="0038471C"/>
    <w:rsid w:val="003866D5"/>
    <w:rsid w:val="0038797D"/>
    <w:rsid w:val="00390701"/>
    <w:rsid w:val="00391561"/>
    <w:rsid w:val="00391770"/>
    <w:rsid w:val="003937B7"/>
    <w:rsid w:val="003976E9"/>
    <w:rsid w:val="003A0EA4"/>
    <w:rsid w:val="003A23DB"/>
    <w:rsid w:val="003A69E0"/>
    <w:rsid w:val="003A6D72"/>
    <w:rsid w:val="003A7610"/>
    <w:rsid w:val="003B035D"/>
    <w:rsid w:val="003B37F6"/>
    <w:rsid w:val="003B704F"/>
    <w:rsid w:val="003B7309"/>
    <w:rsid w:val="003C09D0"/>
    <w:rsid w:val="003C1220"/>
    <w:rsid w:val="003C1409"/>
    <w:rsid w:val="003C22FD"/>
    <w:rsid w:val="003C2572"/>
    <w:rsid w:val="003C4564"/>
    <w:rsid w:val="003D1C50"/>
    <w:rsid w:val="003D208F"/>
    <w:rsid w:val="003D408C"/>
    <w:rsid w:val="003D4C38"/>
    <w:rsid w:val="003D79F9"/>
    <w:rsid w:val="003E1045"/>
    <w:rsid w:val="003E14C8"/>
    <w:rsid w:val="003E1DC8"/>
    <w:rsid w:val="003E2E88"/>
    <w:rsid w:val="003E4656"/>
    <w:rsid w:val="003E6313"/>
    <w:rsid w:val="003E7C38"/>
    <w:rsid w:val="003F14F4"/>
    <w:rsid w:val="003F6757"/>
    <w:rsid w:val="0040100B"/>
    <w:rsid w:val="0040155D"/>
    <w:rsid w:val="0040161E"/>
    <w:rsid w:val="004038F4"/>
    <w:rsid w:val="004041FB"/>
    <w:rsid w:val="00405965"/>
    <w:rsid w:val="00405C8A"/>
    <w:rsid w:val="00406156"/>
    <w:rsid w:val="00410F91"/>
    <w:rsid w:val="0041103B"/>
    <w:rsid w:val="00412F54"/>
    <w:rsid w:val="00420ABB"/>
    <w:rsid w:val="00422E14"/>
    <w:rsid w:val="00422E3E"/>
    <w:rsid w:val="00424387"/>
    <w:rsid w:val="0042720F"/>
    <w:rsid w:val="00427E36"/>
    <w:rsid w:val="00431EF5"/>
    <w:rsid w:val="00433810"/>
    <w:rsid w:val="00435625"/>
    <w:rsid w:val="00436FA2"/>
    <w:rsid w:val="00440B81"/>
    <w:rsid w:val="00441FCE"/>
    <w:rsid w:val="00442F8D"/>
    <w:rsid w:val="004443D6"/>
    <w:rsid w:val="004458F2"/>
    <w:rsid w:val="00447ACA"/>
    <w:rsid w:val="004503D5"/>
    <w:rsid w:val="00450899"/>
    <w:rsid w:val="00451A77"/>
    <w:rsid w:val="004535CD"/>
    <w:rsid w:val="004549BB"/>
    <w:rsid w:val="00455AFF"/>
    <w:rsid w:val="004604F4"/>
    <w:rsid w:val="00460971"/>
    <w:rsid w:val="00461317"/>
    <w:rsid w:val="00462C8E"/>
    <w:rsid w:val="00464978"/>
    <w:rsid w:val="004668E2"/>
    <w:rsid w:val="00470611"/>
    <w:rsid w:val="00471105"/>
    <w:rsid w:val="00471714"/>
    <w:rsid w:val="00472C61"/>
    <w:rsid w:val="00473DE2"/>
    <w:rsid w:val="0047431B"/>
    <w:rsid w:val="00475367"/>
    <w:rsid w:val="0047647E"/>
    <w:rsid w:val="00476602"/>
    <w:rsid w:val="004779C2"/>
    <w:rsid w:val="00480047"/>
    <w:rsid w:val="00484A29"/>
    <w:rsid w:val="0048527C"/>
    <w:rsid w:val="0048621F"/>
    <w:rsid w:val="00490082"/>
    <w:rsid w:val="00494B0C"/>
    <w:rsid w:val="00497AE8"/>
    <w:rsid w:val="004A102B"/>
    <w:rsid w:val="004A1394"/>
    <w:rsid w:val="004A2520"/>
    <w:rsid w:val="004A307F"/>
    <w:rsid w:val="004A4072"/>
    <w:rsid w:val="004A623B"/>
    <w:rsid w:val="004A6255"/>
    <w:rsid w:val="004A70D4"/>
    <w:rsid w:val="004B2CF2"/>
    <w:rsid w:val="004B47A8"/>
    <w:rsid w:val="004B4DDD"/>
    <w:rsid w:val="004B6A04"/>
    <w:rsid w:val="004B75F3"/>
    <w:rsid w:val="004B7B4E"/>
    <w:rsid w:val="004C05B0"/>
    <w:rsid w:val="004C28DB"/>
    <w:rsid w:val="004C3C2E"/>
    <w:rsid w:val="004C4200"/>
    <w:rsid w:val="004C4FFC"/>
    <w:rsid w:val="004D14FF"/>
    <w:rsid w:val="004D32B1"/>
    <w:rsid w:val="004D39F4"/>
    <w:rsid w:val="004D5BCB"/>
    <w:rsid w:val="004E33C2"/>
    <w:rsid w:val="004E63C4"/>
    <w:rsid w:val="004E735B"/>
    <w:rsid w:val="004E7450"/>
    <w:rsid w:val="004F05D0"/>
    <w:rsid w:val="004F3BE6"/>
    <w:rsid w:val="004F457B"/>
    <w:rsid w:val="004F4BB0"/>
    <w:rsid w:val="004F54B9"/>
    <w:rsid w:val="004F58C5"/>
    <w:rsid w:val="004F59A0"/>
    <w:rsid w:val="00500D6B"/>
    <w:rsid w:val="005013DC"/>
    <w:rsid w:val="00501BB7"/>
    <w:rsid w:val="00502B76"/>
    <w:rsid w:val="00504F0C"/>
    <w:rsid w:val="00505A44"/>
    <w:rsid w:val="00506CA6"/>
    <w:rsid w:val="00507B51"/>
    <w:rsid w:val="005102E2"/>
    <w:rsid w:val="0051064D"/>
    <w:rsid w:val="00510D9F"/>
    <w:rsid w:val="0051241C"/>
    <w:rsid w:val="0051389E"/>
    <w:rsid w:val="00515F7B"/>
    <w:rsid w:val="00517390"/>
    <w:rsid w:val="00517F6F"/>
    <w:rsid w:val="00523924"/>
    <w:rsid w:val="00526C3C"/>
    <w:rsid w:val="00527065"/>
    <w:rsid w:val="00527DA1"/>
    <w:rsid w:val="00531102"/>
    <w:rsid w:val="00534012"/>
    <w:rsid w:val="005342C3"/>
    <w:rsid w:val="005358AC"/>
    <w:rsid w:val="0053643B"/>
    <w:rsid w:val="00536DAD"/>
    <w:rsid w:val="005372E0"/>
    <w:rsid w:val="0054128A"/>
    <w:rsid w:val="00542927"/>
    <w:rsid w:val="005433DB"/>
    <w:rsid w:val="005445C8"/>
    <w:rsid w:val="0054611A"/>
    <w:rsid w:val="00551774"/>
    <w:rsid w:val="00553BAB"/>
    <w:rsid w:val="005543AB"/>
    <w:rsid w:val="00555349"/>
    <w:rsid w:val="005561E1"/>
    <w:rsid w:val="00556BDE"/>
    <w:rsid w:val="005635C3"/>
    <w:rsid w:val="00564525"/>
    <w:rsid w:val="00564EE7"/>
    <w:rsid w:val="00565FE9"/>
    <w:rsid w:val="00566D5D"/>
    <w:rsid w:val="00567D39"/>
    <w:rsid w:val="00571853"/>
    <w:rsid w:val="0057324D"/>
    <w:rsid w:val="00573FC9"/>
    <w:rsid w:val="0057441F"/>
    <w:rsid w:val="00577300"/>
    <w:rsid w:val="00581DA3"/>
    <w:rsid w:val="0058297B"/>
    <w:rsid w:val="00582B4E"/>
    <w:rsid w:val="00583369"/>
    <w:rsid w:val="00585AAF"/>
    <w:rsid w:val="00586E7B"/>
    <w:rsid w:val="00586F68"/>
    <w:rsid w:val="005870B3"/>
    <w:rsid w:val="0059269E"/>
    <w:rsid w:val="00592862"/>
    <w:rsid w:val="00592ADF"/>
    <w:rsid w:val="005961A5"/>
    <w:rsid w:val="00596B9B"/>
    <w:rsid w:val="005A07C6"/>
    <w:rsid w:val="005B1B8D"/>
    <w:rsid w:val="005B1F86"/>
    <w:rsid w:val="005B4C20"/>
    <w:rsid w:val="005B4F31"/>
    <w:rsid w:val="005B626E"/>
    <w:rsid w:val="005B7CF2"/>
    <w:rsid w:val="005C390C"/>
    <w:rsid w:val="005C4CC9"/>
    <w:rsid w:val="005D1F6A"/>
    <w:rsid w:val="005D4D73"/>
    <w:rsid w:val="005D5292"/>
    <w:rsid w:val="005D6678"/>
    <w:rsid w:val="005D7BB9"/>
    <w:rsid w:val="005D7F12"/>
    <w:rsid w:val="005E038B"/>
    <w:rsid w:val="005E0F7B"/>
    <w:rsid w:val="005E300C"/>
    <w:rsid w:val="005E43CC"/>
    <w:rsid w:val="005E4F31"/>
    <w:rsid w:val="005E7167"/>
    <w:rsid w:val="005F2328"/>
    <w:rsid w:val="005F25F9"/>
    <w:rsid w:val="005F41BA"/>
    <w:rsid w:val="005F4CED"/>
    <w:rsid w:val="005F559D"/>
    <w:rsid w:val="005F7FD9"/>
    <w:rsid w:val="00602EC1"/>
    <w:rsid w:val="00603066"/>
    <w:rsid w:val="0060398C"/>
    <w:rsid w:val="0060582B"/>
    <w:rsid w:val="0061029F"/>
    <w:rsid w:val="0061075E"/>
    <w:rsid w:val="00611380"/>
    <w:rsid w:val="006146D4"/>
    <w:rsid w:val="006154CB"/>
    <w:rsid w:val="00617D3C"/>
    <w:rsid w:val="00620CFE"/>
    <w:rsid w:val="006243B6"/>
    <w:rsid w:val="006318AE"/>
    <w:rsid w:val="00631C95"/>
    <w:rsid w:val="00633F42"/>
    <w:rsid w:val="00640ABC"/>
    <w:rsid w:val="00647062"/>
    <w:rsid w:val="00647275"/>
    <w:rsid w:val="0064759A"/>
    <w:rsid w:val="0065485E"/>
    <w:rsid w:val="00654E26"/>
    <w:rsid w:val="006561E9"/>
    <w:rsid w:val="00656D4D"/>
    <w:rsid w:val="00657050"/>
    <w:rsid w:val="0065741C"/>
    <w:rsid w:val="00660EF8"/>
    <w:rsid w:val="0066163C"/>
    <w:rsid w:val="006618F5"/>
    <w:rsid w:val="00663612"/>
    <w:rsid w:val="00666271"/>
    <w:rsid w:val="006662B3"/>
    <w:rsid w:val="00666CFD"/>
    <w:rsid w:val="00667F46"/>
    <w:rsid w:val="0067152F"/>
    <w:rsid w:val="0067289F"/>
    <w:rsid w:val="006731ED"/>
    <w:rsid w:val="006740ED"/>
    <w:rsid w:val="00674A49"/>
    <w:rsid w:val="00676B22"/>
    <w:rsid w:val="00677409"/>
    <w:rsid w:val="00680D71"/>
    <w:rsid w:val="00681641"/>
    <w:rsid w:val="00682705"/>
    <w:rsid w:val="006852A2"/>
    <w:rsid w:val="00691580"/>
    <w:rsid w:val="00693487"/>
    <w:rsid w:val="00694AC0"/>
    <w:rsid w:val="00696293"/>
    <w:rsid w:val="0069695D"/>
    <w:rsid w:val="006A1809"/>
    <w:rsid w:val="006A2853"/>
    <w:rsid w:val="006A334E"/>
    <w:rsid w:val="006A468A"/>
    <w:rsid w:val="006A532D"/>
    <w:rsid w:val="006A77BE"/>
    <w:rsid w:val="006A7D1B"/>
    <w:rsid w:val="006B0631"/>
    <w:rsid w:val="006B5C68"/>
    <w:rsid w:val="006B78F3"/>
    <w:rsid w:val="006C11C1"/>
    <w:rsid w:val="006C184C"/>
    <w:rsid w:val="006C2965"/>
    <w:rsid w:val="006C5994"/>
    <w:rsid w:val="006D4973"/>
    <w:rsid w:val="006D75E3"/>
    <w:rsid w:val="006D7A95"/>
    <w:rsid w:val="006D7F82"/>
    <w:rsid w:val="006E3BA6"/>
    <w:rsid w:val="006E5884"/>
    <w:rsid w:val="006E6531"/>
    <w:rsid w:val="006E65B7"/>
    <w:rsid w:val="006E726C"/>
    <w:rsid w:val="006F23F8"/>
    <w:rsid w:val="006F419C"/>
    <w:rsid w:val="006F486D"/>
    <w:rsid w:val="006F50AB"/>
    <w:rsid w:val="006F54FC"/>
    <w:rsid w:val="006F5CDB"/>
    <w:rsid w:val="006F6076"/>
    <w:rsid w:val="006F71D9"/>
    <w:rsid w:val="006F7423"/>
    <w:rsid w:val="006F791D"/>
    <w:rsid w:val="00702350"/>
    <w:rsid w:val="00704AC2"/>
    <w:rsid w:val="00705D52"/>
    <w:rsid w:val="00707D59"/>
    <w:rsid w:val="00710391"/>
    <w:rsid w:val="007106D8"/>
    <w:rsid w:val="00710873"/>
    <w:rsid w:val="0071102C"/>
    <w:rsid w:val="00712E4D"/>
    <w:rsid w:val="0071464C"/>
    <w:rsid w:val="00715F14"/>
    <w:rsid w:val="007176AD"/>
    <w:rsid w:val="007201C6"/>
    <w:rsid w:val="00720723"/>
    <w:rsid w:val="00722BA4"/>
    <w:rsid w:val="0072325C"/>
    <w:rsid w:val="00725BD0"/>
    <w:rsid w:val="00726E0F"/>
    <w:rsid w:val="007311B1"/>
    <w:rsid w:val="007318BB"/>
    <w:rsid w:val="007327E8"/>
    <w:rsid w:val="0073707A"/>
    <w:rsid w:val="00737E43"/>
    <w:rsid w:val="00740CC8"/>
    <w:rsid w:val="00742234"/>
    <w:rsid w:val="00746CCB"/>
    <w:rsid w:val="00751875"/>
    <w:rsid w:val="0075241D"/>
    <w:rsid w:val="00754023"/>
    <w:rsid w:val="00754044"/>
    <w:rsid w:val="0075485C"/>
    <w:rsid w:val="0075506B"/>
    <w:rsid w:val="00756F36"/>
    <w:rsid w:val="0076158B"/>
    <w:rsid w:val="00761A70"/>
    <w:rsid w:val="00762351"/>
    <w:rsid w:val="00762F62"/>
    <w:rsid w:val="007656D3"/>
    <w:rsid w:val="00770243"/>
    <w:rsid w:val="00770A57"/>
    <w:rsid w:val="00771046"/>
    <w:rsid w:val="00771F51"/>
    <w:rsid w:val="0077434A"/>
    <w:rsid w:val="00777218"/>
    <w:rsid w:val="007813E5"/>
    <w:rsid w:val="00781895"/>
    <w:rsid w:val="00782B1F"/>
    <w:rsid w:val="0078351A"/>
    <w:rsid w:val="00783E3F"/>
    <w:rsid w:val="00784CF0"/>
    <w:rsid w:val="00786EDE"/>
    <w:rsid w:val="00790423"/>
    <w:rsid w:val="007922CC"/>
    <w:rsid w:val="00797D9A"/>
    <w:rsid w:val="007A315F"/>
    <w:rsid w:val="007A3FB7"/>
    <w:rsid w:val="007A47AF"/>
    <w:rsid w:val="007A5E9B"/>
    <w:rsid w:val="007A7A25"/>
    <w:rsid w:val="007B2973"/>
    <w:rsid w:val="007B3AA9"/>
    <w:rsid w:val="007B55F3"/>
    <w:rsid w:val="007B5BCE"/>
    <w:rsid w:val="007B5C77"/>
    <w:rsid w:val="007C0F4C"/>
    <w:rsid w:val="007C1B24"/>
    <w:rsid w:val="007C2018"/>
    <w:rsid w:val="007C2379"/>
    <w:rsid w:val="007C4678"/>
    <w:rsid w:val="007D0678"/>
    <w:rsid w:val="007D1D7F"/>
    <w:rsid w:val="007D2460"/>
    <w:rsid w:val="007D451E"/>
    <w:rsid w:val="007E0267"/>
    <w:rsid w:val="007E2B66"/>
    <w:rsid w:val="007E2E68"/>
    <w:rsid w:val="007E41AD"/>
    <w:rsid w:val="007E6341"/>
    <w:rsid w:val="007E6EEC"/>
    <w:rsid w:val="007E6EF4"/>
    <w:rsid w:val="007E749F"/>
    <w:rsid w:val="007E7992"/>
    <w:rsid w:val="007F06C3"/>
    <w:rsid w:val="007F1A4E"/>
    <w:rsid w:val="007F1BA8"/>
    <w:rsid w:val="007F578D"/>
    <w:rsid w:val="008020A2"/>
    <w:rsid w:val="00803E61"/>
    <w:rsid w:val="008060EC"/>
    <w:rsid w:val="00806CF3"/>
    <w:rsid w:val="00812B14"/>
    <w:rsid w:val="008130C2"/>
    <w:rsid w:val="00813274"/>
    <w:rsid w:val="00817E45"/>
    <w:rsid w:val="0082181C"/>
    <w:rsid w:val="00821AA7"/>
    <w:rsid w:val="0082280F"/>
    <w:rsid w:val="00823B31"/>
    <w:rsid w:val="008247E5"/>
    <w:rsid w:val="00827833"/>
    <w:rsid w:val="00836128"/>
    <w:rsid w:val="008370F9"/>
    <w:rsid w:val="008408C2"/>
    <w:rsid w:val="00841AE0"/>
    <w:rsid w:val="00843DC3"/>
    <w:rsid w:val="00843F26"/>
    <w:rsid w:val="008451A6"/>
    <w:rsid w:val="00850B2E"/>
    <w:rsid w:val="00850B99"/>
    <w:rsid w:val="008536F3"/>
    <w:rsid w:val="00855247"/>
    <w:rsid w:val="00860585"/>
    <w:rsid w:val="008634FB"/>
    <w:rsid w:val="00863F8D"/>
    <w:rsid w:val="0086400F"/>
    <w:rsid w:val="00866868"/>
    <w:rsid w:val="008674CC"/>
    <w:rsid w:val="00867595"/>
    <w:rsid w:val="008707AA"/>
    <w:rsid w:val="00870E80"/>
    <w:rsid w:val="00873469"/>
    <w:rsid w:val="00873B44"/>
    <w:rsid w:val="008747E6"/>
    <w:rsid w:val="008750F5"/>
    <w:rsid w:val="00875B4A"/>
    <w:rsid w:val="008826B1"/>
    <w:rsid w:val="00883AB4"/>
    <w:rsid w:val="0088440C"/>
    <w:rsid w:val="00884BDC"/>
    <w:rsid w:val="008956F4"/>
    <w:rsid w:val="00895E12"/>
    <w:rsid w:val="00897229"/>
    <w:rsid w:val="008A07C5"/>
    <w:rsid w:val="008A096D"/>
    <w:rsid w:val="008A3662"/>
    <w:rsid w:val="008A3666"/>
    <w:rsid w:val="008B0026"/>
    <w:rsid w:val="008B08ED"/>
    <w:rsid w:val="008B31C0"/>
    <w:rsid w:val="008B3259"/>
    <w:rsid w:val="008B350B"/>
    <w:rsid w:val="008B61C5"/>
    <w:rsid w:val="008C0554"/>
    <w:rsid w:val="008C19D7"/>
    <w:rsid w:val="008C4FD6"/>
    <w:rsid w:val="008C5357"/>
    <w:rsid w:val="008C681B"/>
    <w:rsid w:val="008C6DFE"/>
    <w:rsid w:val="008D0BD0"/>
    <w:rsid w:val="008D29E6"/>
    <w:rsid w:val="008D3AF5"/>
    <w:rsid w:val="008D5BB4"/>
    <w:rsid w:val="008D6B35"/>
    <w:rsid w:val="008D7B0F"/>
    <w:rsid w:val="008E5E7B"/>
    <w:rsid w:val="008F3208"/>
    <w:rsid w:val="008F49F1"/>
    <w:rsid w:val="008F69FF"/>
    <w:rsid w:val="009029A7"/>
    <w:rsid w:val="00903B2A"/>
    <w:rsid w:val="00905064"/>
    <w:rsid w:val="009062EF"/>
    <w:rsid w:val="009076DC"/>
    <w:rsid w:val="00910148"/>
    <w:rsid w:val="009206FC"/>
    <w:rsid w:val="0092103F"/>
    <w:rsid w:val="009216B8"/>
    <w:rsid w:val="009228D1"/>
    <w:rsid w:val="009228DC"/>
    <w:rsid w:val="00922C7C"/>
    <w:rsid w:val="00923F81"/>
    <w:rsid w:val="00925448"/>
    <w:rsid w:val="009254A6"/>
    <w:rsid w:val="00925C90"/>
    <w:rsid w:val="00926552"/>
    <w:rsid w:val="0092769D"/>
    <w:rsid w:val="009325AB"/>
    <w:rsid w:val="0093293E"/>
    <w:rsid w:val="009330A1"/>
    <w:rsid w:val="00934295"/>
    <w:rsid w:val="00937264"/>
    <w:rsid w:val="0093755D"/>
    <w:rsid w:val="00940328"/>
    <w:rsid w:val="00943E56"/>
    <w:rsid w:val="009444C1"/>
    <w:rsid w:val="00946EFA"/>
    <w:rsid w:val="0094740B"/>
    <w:rsid w:val="0095288D"/>
    <w:rsid w:val="009530F1"/>
    <w:rsid w:val="009538FE"/>
    <w:rsid w:val="009619BA"/>
    <w:rsid w:val="00961EBE"/>
    <w:rsid w:val="00962DF0"/>
    <w:rsid w:val="009649E5"/>
    <w:rsid w:val="00965D00"/>
    <w:rsid w:val="00966D6D"/>
    <w:rsid w:val="00970998"/>
    <w:rsid w:val="0097193C"/>
    <w:rsid w:val="00972555"/>
    <w:rsid w:val="0097344D"/>
    <w:rsid w:val="009773BE"/>
    <w:rsid w:val="009800E9"/>
    <w:rsid w:val="00980182"/>
    <w:rsid w:val="00981631"/>
    <w:rsid w:val="00987FF5"/>
    <w:rsid w:val="00993CAE"/>
    <w:rsid w:val="00994FB5"/>
    <w:rsid w:val="00995930"/>
    <w:rsid w:val="009966DB"/>
    <w:rsid w:val="0099777E"/>
    <w:rsid w:val="009A0EAE"/>
    <w:rsid w:val="009A1327"/>
    <w:rsid w:val="009A1CCD"/>
    <w:rsid w:val="009A3A85"/>
    <w:rsid w:val="009A6C58"/>
    <w:rsid w:val="009B121E"/>
    <w:rsid w:val="009B2661"/>
    <w:rsid w:val="009B29DB"/>
    <w:rsid w:val="009B338C"/>
    <w:rsid w:val="009B359A"/>
    <w:rsid w:val="009B57CE"/>
    <w:rsid w:val="009B6199"/>
    <w:rsid w:val="009C2859"/>
    <w:rsid w:val="009C401D"/>
    <w:rsid w:val="009C57C5"/>
    <w:rsid w:val="009D1A99"/>
    <w:rsid w:val="009D1B78"/>
    <w:rsid w:val="009D2BFE"/>
    <w:rsid w:val="009D4367"/>
    <w:rsid w:val="009D58BE"/>
    <w:rsid w:val="009E0D56"/>
    <w:rsid w:val="009E1EC0"/>
    <w:rsid w:val="009E3FF3"/>
    <w:rsid w:val="009E6B17"/>
    <w:rsid w:val="009E7C1A"/>
    <w:rsid w:val="009F0051"/>
    <w:rsid w:val="009F10FD"/>
    <w:rsid w:val="009F2635"/>
    <w:rsid w:val="009F380A"/>
    <w:rsid w:val="009F5A56"/>
    <w:rsid w:val="009F6AB6"/>
    <w:rsid w:val="009F6F5E"/>
    <w:rsid w:val="00A008E7"/>
    <w:rsid w:val="00A04D49"/>
    <w:rsid w:val="00A06398"/>
    <w:rsid w:val="00A066A7"/>
    <w:rsid w:val="00A06A43"/>
    <w:rsid w:val="00A06BA3"/>
    <w:rsid w:val="00A1214D"/>
    <w:rsid w:val="00A15F4E"/>
    <w:rsid w:val="00A17A50"/>
    <w:rsid w:val="00A209D1"/>
    <w:rsid w:val="00A213EE"/>
    <w:rsid w:val="00A25D65"/>
    <w:rsid w:val="00A270FC"/>
    <w:rsid w:val="00A300C2"/>
    <w:rsid w:val="00A30746"/>
    <w:rsid w:val="00A34534"/>
    <w:rsid w:val="00A35154"/>
    <w:rsid w:val="00A37318"/>
    <w:rsid w:val="00A376DD"/>
    <w:rsid w:val="00A3796F"/>
    <w:rsid w:val="00A40257"/>
    <w:rsid w:val="00A4105A"/>
    <w:rsid w:val="00A42A3A"/>
    <w:rsid w:val="00A43FE8"/>
    <w:rsid w:val="00A44FF4"/>
    <w:rsid w:val="00A47E41"/>
    <w:rsid w:val="00A51B01"/>
    <w:rsid w:val="00A51FC4"/>
    <w:rsid w:val="00A52196"/>
    <w:rsid w:val="00A52594"/>
    <w:rsid w:val="00A53FA9"/>
    <w:rsid w:val="00A601E3"/>
    <w:rsid w:val="00A60506"/>
    <w:rsid w:val="00A6143D"/>
    <w:rsid w:val="00A632A0"/>
    <w:rsid w:val="00A6477D"/>
    <w:rsid w:val="00A65FFB"/>
    <w:rsid w:val="00A66A78"/>
    <w:rsid w:val="00A675DE"/>
    <w:rsid w:val="00A7050D"/>
    <w:rsid w:val="00A71EB6"/>
    <w:rsid w:val="00A71EE2"/>
    <w:rsid w:val="00A73309"/>
    <w:rsid w:val="00A74EB4"/>
    <w:rsid w:val="00A777E7"/>
    <w:rsid w:val="00A77CB8"/>
    <w:rsid w:val="00A815AD"/>
    <w:rsid w:val="00A82014"/>
    <w:rsid w:val="00A86955"/>
    <w:rsid w:val="00A875EE"/>
    <w:rsid w:val="00A87C81"/>
    <w:rsid w:val="00A908D8"/>
    <w:rsid w:val="00A91A26"/>
    <w:rsid w:val="00A91E0F"/>
    <w:rsid w:val="00A9280C"/>
    <w:rsid w:val="00A939C5"/>
    <w:rsid w:val="00A94663"/>
    <w:rsid w:val="00A95354"/>
    <w:rsid w:val="00A96AF0"/>
    <w:rsid w:val="00A970F8"/>
    <w:rsid w:val="00A9776D"/>
    <w:rsid w:val="00AA018D"/>
    <w:rsid w:val="00AA03D8"/>
    <w:rsid w:val="00AA56EB"/>
    <w:rsid w:val="00AB0ED9"/>
    <w:rsid w:val="00AB3C31"/>
    <w:rsid w:val="00AB3DC3"/>
    <w:rsid w:val="00AB41B8"/>
    <w:rsid w:val="00AB4C1B"/>
    <w:rsid w:val="00AB6EFA"/>
    <w:rsid w:val="00AB734A"/>
    <w:rsid w:val="00AB7477"/>
    <w:rsid w:val="00AB794A"/>
    <w:rsid w:val="00AC05BB"/>
    <w:rsid w:val="00AD4A3C"/>
    <w:rsid w:val="00AD6260"/>
    <w:rsid w:val="00AD6C03"/>
    <w:rsid w:val="00AD738B"/>
    <w:rsid w:val="00AE1E6A"/>
    <w:rsid w:val="00AE2570"/>
    <w:rsid w:val="00AE29E3"/>
    <w:rsid w:val="00AE5236"/>
    <w:rsid w:val="00AE607A"/>
    <w:rsid w:val="00AE73EE"/>
    <w:rsid w:val="00AE77AB"/>
    <w:rsid w:val="00AE7990"/>
    <w:rsid w:val="00AF19F7"/>
    <w:rsid w:val="00AF1AFF"/>
    <w:rsid w:val="00AF22F5"/>
    <w:rsid w:val="00AF2E30"/>
    <w:rsid w:val="00AF67BE"/>
    <w:rsid w:val="00B04CFC"/>
    <w:rsid w:val="00B07556"/>
    <w:rsid w:val="00B111AD"/>
    <w:rsid w:val="00B11251"/>
    <w:rsid w:val="00B11C5A"/>
    <w:rsid w:val="00B12BDF"/>
    <w:rsid w:val="00B135ED"/>
    <w:rsid w:val="00B157C3"/>
    <w:rsid w:val="00B15B16"/>
    <w:rsid w:val="00B15C11"/>
    <w:rsid w:val="00B1791F"/>
    <w:rsid w:val="00B202B1"/>
    <w:rsid w:val="00B20A7A"/>
    <w:rsid w:val="00B21590"/>
    <w:rsid w:val="00B22452"/>
    <w:rsid w:val="00B233E9"/>
    <w:rsid w:val="00B24C7C"/>
    <w:rsid w:val="00B24C8F"/>
    <w:rsid w:val="00B25CC1"/>
    <w:rsid w:val="00B26EAC"/>
    <w:rsid w:val="00B369B0"/>
    <w:rsid w:val="00B407A9"/>
    <w:rsid w:val="00B410A8"/>
    <w:rsid w:val="00B4112E"/>
    <w:rsid w:val="00B41A76"/>
    <w:rsid w:val="00B435A2"/>
    <w:rsid w:val="00B43FA1"/>
    <w:rsid w:val="00B4568E"/>
    <w:rsid w:val="00B468AB"/>
    <w:rsid w:val="00B46CE4"/>
    <w:rsid w:val="00B515B9"/>
    <w:rsid w:val="00B51638"/>
    <w:rsid w:val="00B51F8E"/>
    <w:rsid w:val="00B52F0C"/>
    <w:rsid w:val="00B5358C"/>
    <w:rsid w:val="00B5372A"/>
    <w:rsid w:val="00B53BAA"/>
    <w:rsid w:val="00B53BF3"/>
    <w:rsid w:val="00B57FAC"/>
    <w:rsid w:val="00B62680"/>
    <w:rsid w:val="00B63CC1"/>
    <w:rsid w:val="00B66131"/>
    <w:rsid w:val="00B67027"/>
    <w:rsid w:val="00B7337E"/>
    <w:rsid w:val="00B73494"/>
    <w:rsid w:val="00B7437B"/>
    <w:rsid w:val="00B74665"/>
    <w:rsid w:val="00B77B93"/>
    <w:rsid w:val="00B77FAA"/>
    <w:rsid w:val="00B802EB"/>
    <w:rsid w:val="00B81D68"/>
    <w:rsid w:val="00B8307F"/>
    <w:rsid w:val="00B8400E"/>
    <w:rsid w:val="00B84824"/>
    <w:rsid w:val="00B853A8"/>
    <w:rsid w:val="00B85CE7"/>
    <w:rsid w:val="00B8739A"/>
    <w:rsid w:val="00B87AC8"/>
    <w:rsid w:val="00B918B6"/>
    <w:rsid w:val="00B91EC5"/>
    <w:rsid w:val="00BA0976"/>
    <w:rsid w:val="00BA1DB8"/>
    <w:rsid w:val="00BA3950"/>
    <w:rsid w:val="00BA4160"/>
    <w:rsid w:val="00BA6383"/>
    <w:rsid w:val="00BA79B7"/>
    <w:rsid w:val="00BB00DE"/>
    <w:rsid w:val="00BB0D37"/>
    <w:rsid w:val="00BB0F0B"/>
    <w:rsid w:val="00BB1007"/>
    <w:rsid w:val="00BB1C35"/>
    <w:rsid w:val="00BB21AD"/>
    <w:rsid w:val="00BB60F9"/>
    <w:rsid w:val="00BB745E"/>
    <w:rsid w:val="00BC1D5D"/>
    <w:rsid w:val="00BC2E52"/>
    <w:rsid w:val="00BC3D21"/>
    <w:rsid w:val="00BC553A"/>
    <w:rsid w:val="00BC629A"/>
    <w:rsid w:val="00BC6F2A"/>
    <w:rsid w:val="00BC784F"/>
    <w:rsid w:val="00BD06C8"/>
    <w:rsid w:val="00BD1DDD"/>
    <w:rsid w:val="00BD37A5"/>
    <w:rsid w:val="00BD55E8"/>
    <w:rsid w:val="00BD56C0"/>
    <w:rsid w:val="00BD5D9F"/>
    <w:rsid w:val="00BD6F8A"/>
    <w:rsid w:val="00BD70F7"/>
    <w:rsid w:val="00BD71D2"/>
    <w:rsid w:val="00BE1C04"/>
    <w:rsid w:val="00BE270F"/>
    <w:rsid w:val="00BE2952"/>
    <w:rsid w:val="00BE6EB6"/>
    <w:rsid w:val="00BE7F51"/>
    <w:rsid w:val="00BF1505"/>
    <w:rsid w:val="00BF213C"/>
    <w:rsid w:val="00BF2681"/>
    <w:rsid w:val="00BF2A3F"/>
    <w:rsid w:val="00BF2A5F"/>
    <w:rsid w:val="00BF3A0B"/>
    <w:rsid w:val="00BF46E4"/>
    <w:rsid w:val="00BF4E53"/>
    <w:rsid w:val="00C01913"/>
    <w:rsid w:val="00C02B80"/>
    <w:rsid w:val="00C0585A"/>
    <w:rsid w:val="00C05B26"/>
    <w:rsid w:val="00C1000D"/>
    <w:rsid w:val="00C10F7E"/>
    <w:rsid w:val="00C11FA0"/>
    <w:rsid w:val="00C12CED"/>
    <w:rsid w:val="00C12E34"/>
    <w:rsid w:val="00C1355F"/>
    <w:rsid w:val="00C149F2"/>
    <w:rsid w:val="00C15117"/>
    <w:rsid w:val="00C22FBD"/>
    <w:rsid w:val="00C2475E"/>
    <w:rsid w:val="00C25DAB"/>
    <w:rsid w:val="00C25E03"/>
    <w:rsid w:val="00C266D6"/>
    <w:rsid w:val="00C26806"/>
    <w:rsid w:val="00C3063C"/>
    <w:rsid w:val="00C337D7"/>
    <w:rsid w:val="00C338A4"/>
    <w:rsid w:val="00C3537E"/>
    <w:rsid w:val="00C35DD4"/>
    <w:rsid w:val="00C411D0"/>
    <w:rsid w:val="00C44465"/>
    <w:rsid w:val="00C4463A"/>
    <w:rsid w:val="00C51753"/>
    <w:rsid w:val="00C52351"/>
    <w:rsid w:val="00C5387A"/>
    <w:rsid w:val="00C53B0F"/>
    <w:rsid w:val="00C570E8"/>
    <w:rsid w:val="00C60FE2"/>
    <w:rsid w:val="00C6175D"/>
    <w:rsid w:val="00C62EC6"/>
    <w:rsid w:val="00C63EDE"/>
    <w:rsid w:val="00C6654D"/>
    <w:rsid w:val="00C677EA"/>
    <w:rsid w:val="00C70B8B"/>
    <w:rsid w:val="00C75855"/>
    <w:rsid w:val="00C770BB"/>
    <w:rsid w:val="00C77C63"/>
    <w:rsid w:val="00C77E3F"/>
    <w:rsid w:val="00C80A92"/>
    <w:rsid w:val="00C819DB"/>
    <w:rsid w:val="00C81FC6"/>
    <w:rsid w:val="00C85178"/>
    <w:rsid w:val="00C877D8"/>
    <w:rsid w:val="00C92ED9"/>
    <w:rsid w:val="00C95C3A"/>
    <w:rsid w:val="00C97CD0"/>
    <w:rsid w:val="00CA1532"/>
    <w:rsid w:val="00CA38C7"/>
    <w:rsid w:val="00CA3DF2"/>
    <w:rsid w:val="00CA5373"/>
    <w:rsid w:val="00CB43B7"/>
    <w:rsid w:val="00CB4A83"/>
    <w:rsid w:val="00CB594F"/>
    <w:rsid w:val="00CB5972"/>
    <w:rsid w:val="00CB796C"/>
    <w:rsid w:val="00CC34F4"/>
    <w:rsid w:val="00CC3761"/>
    <w:rsid w:val="00CC53C6"/>
    <w:rsid w:val="00CD0AB2"/>
    <w:rsid w:val="00CD1F0A"/>
    <w:rsid w:val="00CD224D"/>
    <w:rsid w:val="00CD7BCC"/>
    <w:rsid w:val="00CD7CF2"/>
    <w:rsid w:val="00CD7E27"/>
    <w:rsid w:val="00CE0D29"/>
    <w:rsid w:val="00CE0E5C"/>
    <w:rsid w:val="00CE16DC"/>
    <w:rsid w:val="00CF1510"/>
    <w:rsid w:val="00CF19C8"/>
    <w:rsid w:val="00CF4821"/>
    <w:rsid w:val="00CF5C4F"/>
    <w:rsid w:val="00CF77D9"/>
    <w:rsid w:val="00D017BB"/>
    <w:rsid w:val="00D0195B"/>
    <w:rsid w:val="00D031A4"/>
    <w:rsid w:val="00D03427"/>
    <w:rsid w:val="00D10121"/>
    <w:rsid w:val="00D13CD5"/>
    <w:rsid w:val="00D13F46"/>
    <w:rsid w:val="00D171CA"/>
    <w:rsid w:val="00D2247E"/>
    <w:rsid w:val="00D23388"/>
    <w:rsid w:val="00D241A3"/>
    <w:rsid w:val="00D248A6"/>
    <w:rsid w:val="00D26C17"/>
    <w:rsid w:val="00D305E2"/>
    <w:rsid w:val="00D34B8A"/>
    <w:rsid w:val="00D35D94"/>
    <w:rsid w:val="00D4256E"/>
    <w:rsid w:val="00D440B7"/>
    <w:rsid w:val="00D4445C"/>
    <w:rsid w:val="00D465BE"/>
    <w:rsid w:val="00D478AC"/>
    <w:rsid w:val="00D5098C"/>
    <w:rsid w:val="00D50FBF"/>
    <w:rsid w:val="00D512A1"/>
    <w:rsid w:val="00D51827"/>
    <w:rsid w:val="00D51888"/>
    <w:rsid w:val="00D53784"/>
    <w:rsid w:val="00D571AE"/>
    <w:rsid w:val="00D61B33"/>
    <w:rsid w:val="00D6443D"/>
    <w:rsid w:val="00D717E7"/>
    <w:rsid w:val="00D71E58"/>
    <w:rsid w:val="00D7259A"/>
    <w:rsid w:val="00D72F6E"/>
    <w:rsid w:val="00D730BD"/>
    <w:rsid w:val="00D73190"/>
    <w:rsid w:val="00D732AE"/>
    <w:rsid w:val="00D734C6"/>
    <w:rsid w:val="00D75559"/>
    <w:rsid w:val="00D7750C"/>
    <w:rsid w:val="00D77642"/>
    <w:rsid w:val="00D77EDC"/>
    <w:rsid w:val="00D80746"/>
    <w:rsid w:val="00D817A2"/>
    <w:rsid w:val="00D82A17"/>
    <w:rsid w:val="00D82DD0"/>
    <w:rsid w:val="00D86FE4"/>
    <w:rsid w:val="00D90795"/>
    <w:rsid w:val="00D94F82"/>
    <w:rsid w:val="00D9579B"/>
    <w:rsid w:val="00DA05EF"/>
    <w:rsid w:val="00DA27AB"/>
    <w:rsid w:val="00DA405A"/>
    <w:rsid w:val="00DA563C"/>
    <w:rsid w:val="00DA6866"/>
    <w:rsid w:val="00DA693B"/>
    <w:rsid w:val="00DA6CF2"/>
    <w:rsid w:val="00DB146A"/>
    <w:rsid w:val="00DB225F"/>
    <w:rsid w:val="00DB27FC"/>
    <w:rsid w:val="00DB3729"/>
    <w:rsid w:val="00DB51D4"/>
    <w:rsid w:val="00DB55A9"/>
    <w:rsid w:val="00DB7AD5"/>
    <w:rsid w:val="00DC0A36"/>
    <w:rsid w:val="00DC2C86"/>
    <w:rsid w:val="00DC6B20"/>
    <w:rsid w:val="00DC7401"/>
    <w:rsid w:val="00DD16A0"/>
    <w:rsid w:val="00DD1E00"/>
    <w:rsid w:val="00DD3215"/>
    <w:rsid w:val="00DD3717"/>
    <w:rsid w:val="00DD44C0"/>
    <w:rsid w:val="00DD4DAD"/>
    <w:rsid w:val="00DD62F8"/>
    <w:rsid w:val="00DD707C"/>
    <w:rsid w:val="00DE0593"/>
    <w:rsid w:val="00DE27BE"/>
    <w:rsid w:val="00DE2D2D"/>
    <w:rsid w:val="00DE5952"/>
    <w:rsid w:val="00DE7A2A"/>
    <w:rsid w:val="00DF02F2"/>
    <w:rsid w:val="00DF0C53"/>
    <w:rsid w:val="00DF3F83"/>
    <w:rsid w:val="00DF61A1"/>
    <w:rsid w:val="00DF6BFC"/>
    <w:rsid w:val="00E022D5"/>
    <w:rsid w:val="00E03D05"/>
    <w:rsid w:val="00E045F7"/>
    <w:rsid w:val="00E10229"/>
    <w:rsid w:val="00E10B94"/>
    <w:rsid w:val="00E15164"/>
    <w:rsid w:val="00E20B39"/>
    <w:rsid w:val="00E21C9D"/>
    <w:rsid w:val="00E21D75"/>
    <w:rsid w:val="00E22472"/>
    <w:rsid w:val="00E23245"/>
    <w:rsid w:val="00E23A9F"/>
    <w:rsid w:val="00E2462F"/>
    <w:rsid w:val="00E250DF"/>
    <w:rsid w:val="00E279CF"/>
    <w:rsid w:val="00E30A4A"/>
    <w:rsid w:val="00E33A06"/>
    <w:rsid w:val="00E407CA"/>
    <w:rsid w:val="00E40B28"/>
    <w:rsid w:val="00E433B5"/>
    <w:rsid w:val="00E438BE"/>
    <w:rsid w:val="00E50B54"/>
    <w:rsid w:val="00E51231"/>
    <w:rsid w:val="00E5131F"/>
    <w:rsid w:val="00E519C8"/>
    <w:rsid w:val="00E51AC2"/>
    <w:rsid w:val="00E529C9"/>
    <w:rsid w:val="00E537EF"/>
    <w:rsid w:val="00E53BB9"/>
    <w:rsid w:val="00E54590"/>
    <w:rsid w:val="00E563F1"/>
    <w:rsid w:val="00E5678E"/>
    <w:rsid w:val="00E56812"/>
    <w:rsid w:val="00E57F43"/>
    <w:rsid w:val="00E603A8"/>
    <w:rsid w:val="00E60B9B"/>
    <w:rsid w:val="00E61B34"/>
    <w:rsid w:val="00E640F6"/>
    <w:rsid w:val="00E64387"/>
    <w:rsid w:val="00E65B5C"/>
    <w:rsid w:val="00E66628"/>
    <w:rsid w:val="00E66AA1"/>
    <w:rsid w:val="00E676B5"/>
    <w:rsid w:val="00E72D29"/>
    <w:rsid w:val="00E740AB"/>
    <w:rsid w:val="00E76078"/>
    <w:rsid w:val="00E7624C"/>
    <w:rsid w:val="00E77AC5"/>
    <w:rsid w:val="00E8119B"/>
    <w:rsid w:val="00E818FF"/>
    <w:rsid w:val="00E8530D"/>
    <w:rsid w:val="00E9160A"/>
    <w:rsid w:val="00E91FB9"/>
    <w:rsid w:val="00E92FF1"/>
    <w:rsid w:val="00E9407E"/>
    <w:rsid w:val="00EA104B"/>
    <w:rsid w:val="00EA2D6E"/>
    <w:rsid w:val="00EA33FC"/>
    <w:rsid w:val="00EB0A82"/>
    <w:rsid w:val="00EB1CAB"/>
    <w:rsid w:val="00EB309E"/>
    <w:rsid w:val="00EB4608"/>
    <w:rsid w:val="00EB5079"/>
    <w:rsid w:val="00EB5359"/>
    <w:rsid w:val="00EC346F"/>
    <w:rsid w:val="00EC3E35"/>
    <w:rsid w:val="00EC584E"/>
    <w:rsid w:val="00EC5CDC"/>
    <w:rsid w:val="00EC61CB"/>
    <w:rsid w:val="00EC6E0D"/>
    <w:rsid w:val="00EE0332"/>
    <w:rsid w:val="00EE0424"/>
    <w:rsid w:val="00EE24AC"/>
    <w:rsid w:val="00EE6F1B"/>
    <w:rsid w:val="00EE746B"/>
    <w:rsid w:val="00EF1A91"/>
    <w:rsid w:val="00EF4FE4"/>
    <w:rsid w:val="00EF6366"/>
    <w:rsid w:val="00EF6FF3"/>
    <w:rsid w:val="00EF74AE"/>
    <w:rsid w:val="00EF7E94"/>
    <w:rsid w:val="00F01F0E"/>
    <w:rsid w:val="00F04A1F"/>
    <w:rsid w:val="00F05977"/>
    <w:rsid w:val="00F10D61"/>
    <w:rsid w:val="00F114D9"/>
    <w:rsid w:val="00F158F4"/>
    <w:rsid w:val="00F167B3"/>
    <w:rsid w:val="00F17615"/>
    <w:rsid w:val="00F21015"/>
    <w:rsid w:val="00F24AF3"/>
    <w:rsid w:val="00F3040F"/>
    <w:rsid w:val="00F34456"/>
    <w:rsid w:val="00F36400"/>
    <w:rsid w:val="00F36AE4"/>
    <w:rsid w:val="00F371C5"/>
    <w:rsid w:val="00F37481"/>
    <w:rsid w:val="00F40B9A"/>
    <w:rsid w:val="00F50A95"/>
    <w:rsid w:val="00F510BB"/>
    <w:rsid w:val="00F51AC0"/>
    <w:rsid w:val="00F51D81"/>
    <w:rsid w:val="00F53421"/>
    <w:rsid w:val="00F5405E"/>
    <w:rsid w:val="00F56F41"/>
    <w:rsid w:val="00F61882"/>
    <w:rsid w:val="00F63B82"/>
    <w:rsid w:val="00F6604D"/>
    <w:rsid w:val="00F664A9"/>
    <w:rsid w:val="00F66647"/>
    <w:rsid w:val="00F668D5"/>
    <w:rsid w:val="00F70A2C"/>
    <w:rsid w:val="00F73741"/>
    <w:rsid w:val="00F74160"/>
    <w:rsid w:val="00F76305"/>
    <w:rsid w:val="00F8075E"/>
    <w:rsid w:val="00F81B3A"/>
    <w:rsid w:val="00F81C6D"/>
    <w:rsid w:val="00F84454"/>
    <w:rsid w:val="00F84937"/>
    <w:rsid w:val="00F855D4"/>
    <w:rsid w:val="00F873BF"/>
    <w:rsid w:val="00F87824"/>
    <w:rsid w:val="00F90A29"/>
    <w:rsid w:val="00F90B5D"/>
    <w:rsid w:val="00F90CF3"/>
    <w:rsid w:val="00F915A6"/>
    <w:rsid w:val="00F93740"/>
    <w:rsid w:val="00F95BE9"/>
    <w:rsid w:val="00FA25F7"/>
    <w:rsid w:val="00FA5187"/>
    <w:rsid w:val="00FA5578"/>
    <w:rsid w:val="00FA74A1"/>
    <w:rsid w:val="00FB1AD3"/>
    <w:rsid w:val="00FB3D8F"/>
    <w:rsid w:val="00FB500F"/>
    <w:rsid w:val="00FB54DF"/>
    <w:rsid w:val="00FB5BAE"/>
    <w:rsid w:val="00FB5D70"/>
    <w:rsid w:val="00FB67B3"/>
    <w:rsid w:val="00FB7605"/>
    <w:rsid w:val="00FB77A9"/>
    <w:rsid w:val="00FC1F6C"/>
    <w:rsid w:val="00FC23A4"/>
    <w:rsid w:val="00FC4DFE"/>
    <w:rsid w:val="00FC52A1"/>
    <w:rsid w:val="00FC6D4C"/>
    <w:rsid w:val="00FD136A"/>
    <w:rsid w:val="00FD160C"/>
    <w:rsid w:val="00FD38D0"/>
    <w:rsid w:val="00FD551E"/>
    <w:rsid w:val="00FD5841"/>
    <w:rsid w:val="00FD5C70"/>
    <w:rsid w:val="00FD7C48"/>
    <w:rsid w:val="00FE08F1"/>
    <w:rsid w:val="00FE3BCB"/>
    <w:rsid w:val="00FE3EBB"/>
    <w:rsid w:val="00FE5EC8"/>
    <w:rsid w:val="00FE6E5F"/>
    <w:rsid w:val="00FF1F3B"/>
    <w:rsid w:val="00FF32A3"/>
    <w:rsid w:val="00FF56D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D9887302-80CB-4732-9DC4-4AFA75FE2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AF22F5"/>
    <w:pPr>
      <w:spacing w:before="120" w:after="120"/>
      <w:ind w:left="142"/>
      <w:jc w:val="both"/>
    </w:pPr>
    <w:rPr>
      <w:rFonts w:ascii="Arial" w:hAnsi="Arial" w:cs="Arial"/>
      <w:sz w:val="22"/>
    </w:rPr>
  </w:style>
  <w:style w:type="paragraph" w:styleId="Heading1">
    <w:name w:val="heading 1"/>
    <w:aliases w:val="Titre1 av num,(Titre),Niveau 1,Heading 1 CFMU,Chapitres,Partie"/>
    <w:basedOn w:val="Normal"/>
    <w:next w:val="Normal"/>
    <w:autoRedefine/>
    <w:qFormat/>
    <w:rsid w:val="00350463"/>
    <w:pPr>
      <w:keepNext/>
      <w:pageBreakBefore/>
      <w:numPr>
        <w:numId w:val="1"/>
      </w:numPr>
      <w:pBdr>
        <w:top w:val="single" w:sz="8" w:space="1" w:color="auto"/>
        <w:left w:val="single" w:sz="8" w:space="1" w:color="auto"/>
        <w:bottom w:val="single" w:sz="8" w:space="1" w:color="auto"/>
        <w:right w:val="single" w:sz="8" w:space="4" w:color="auto"/>
      </w:pBdr>
      <w:shd w:val="clear" w:color="auto" w:fill="D9D9D9"/>
      <w:overflowPunct w:val="0"/>
      <w:autoSpaceDE w:val="0"/>
      <w:autoSpaceDN w:val="0"/>
      <w:adjustRightInd w:val="0"/>
      <w:spacing w:after="400" w:line="360" w:lineRule="exact"/>
      <w:ind w:left="431" w:hanging="431"/>
      <w:jc w:val="center"/>
      <w:textAlignment w:val="baseline"/>
      <w:outlineLvl w:val="0"/>
    </w:pPr>
    <w:rPr>
      <w:caps/>
      <w:kern w:val="28"/>
      <w:sz w:val="36"/>
      <w:szCs w:val="28"/>
    </w:rPr>
  </w:style>
  <w:style w:type="paragraph" w:styleId="Heading2">
    <w:name w:val="heading 2"/>
    <w:aliases w:val="Titre 2 av num,(Sous-titre),Niveau 1 1,Heading 2 CFMU,Chapitre"/>
    <w:basedOn w:val="Normal"/>
    <w:next w:val="BodyText"/>
    <w:link w:val="Heading2Char"/>
    <w:autoRedefine/>
    <w:qFormat/>
    <w:rsid w:val="0065741C"/>
    <w:pPr>
      <w:keepNext/>
      <w:numPr>
        <w:ilvl w:val="1"/>
        <w:numId w:val="1"/>
      </w:numPr>
      <w:spacing w:before="60" w:after="240"/>
      <w:ind w:left="578" w:hanging="578"/>
      <w:outlineLvl w:val="1"/>
    </w:pPr>
    <w:rPr>
      <w:rFonts w:ascii="Verdana" w:hAnsi="Verdana" w:cs="Times New Roman"/>
      <w:b/>
      <w:bCs/>
      <w:i/>
      <w:iCs/>
      <w:sz w:val="26"/>
      <w:szCs w:val="28"/>
      <w:lang w:eastAsia="en-US"/>
    </w:rPr>
  </w:style>
  <w:style w:type="paragraph" w:styleId="Heading3">
    <w:name w:val="heading 3"/>
    <w:aliases w:val="Titre 3 av num,(Inter- titre),Niveau 1 1 1,Heading 3 CFMU,Titre 3 Car,Titre 3 av num Car,(Inter- titre) Car,Niveau 1 1 1 Car,Heading 3 CFMU Car,Niveau 1.1,t3,h3,Section"/>
    <w:basedOn w:val="Normal"/>
    <w:next w:val="BodyText"/>
    <w:autoRedefine/>
    <w:qFormat/>
    <w:rsid w:val="00005D16"/>
    <w:pPr>
      <w:keepNext/>
      <w:numPr>
        <w:ilvl w:val="2"/>
        <w:numId w:val="1"/>
      </w:numPr>
      <w:tabs>
        <w:tab w:val="left" w:pos="851"/>
      </w:tabs>
      <w:autoSpaceDE w:val="0"/>
      <w:autoSpaceDN w:val="0"/>
      <w:adjustRightInd w:val="0"/>
      <w:spacing w:after="160"/>
      <w:outlineLvl w:val="2"/>
    </w:pPr>
    <w:rPr>
      <w:bCs/>
      <w:sz w:val="26"/>
      <w:szCs w:val="26"/>
      <w:u w:val="single"/>
    </w:rPr>
  </w:style>
  <w:style w:type="paragraph" w:styleId="Heading4">
    <w:name w:val="heading 4"/>
    <w:aliases w:val="Titre 4 av num,Niveau 1.1.1,Module"/>
    <w:basedOn w:val="Normal"/>
    <w:next w:val="Normal"/>
    <w:autoRedefine/>
    <w:qFormat/>
    <w:rsid w:val="00657050"/>
    <w:pPr>
      <w:numPr>
        <w:ilvl w:val="3"/>
        <w:numId w:val="1"/>
      </w:numPr>
      <w:tabs>
        <w:tab w:val="clear" w:pos="864"/>
        <w:tab w:val="left" w:pos="2340"/>
      </w:tabs>
      <w:overflowPunct w:val="0"/>
      <w:autoSpaceDE w:val="0"/>
      <w:autoSpaceDN w:val="0"/>
      <w:adjustRightInd w:val="0"/>
      <w:ind w:left="0" w:firstLine="1418"/>
      <w:textAlignment w:val="baseline"/>
      <w:outlineLvl w:val="3"/>
    </w:pPr>
    <w:rPr>
      <w:rFonts w:ascii="Calibri" w:hAnsi="Calibri"/>
      <w:bCs/>
      <w:i/>
      <w:noProof/>
      <w:sz w:val="24"/>
    </w:rPr>
  </w:style>
  <w:style w:type="paragraph" w:styleId="Heading9">
    <w:name w:val="heading 9"/>
    <w:basedOn w:val="Tableau-Corpsdetexte"/>
    <w:next w:val="Normal"/>
    <w:link w:val="Heading9Char"/>
    <w:qFormat/>
    <w:rsid w:val="00251D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Bis">
    <w:name w:val="Titre 1 Bis"/>
    <w:basedOn w:val="Heading1"/>
    <w:next w:val="Normal"/>
    <w:autoRedefine/>
    <w:rsid w:val="00AD738B"/>
    <w:pPr>
      <w:numPr>
        <w:numId w:val="0"/>
      </w:numPr>
    </w:pPr>
  </w:style>
  <w:style w:type="paragraph" w:styleId="TOC1">
    <w:name w:val="toc 1"/>
    <w:basedOn w:val="Normal"/>
    <w:next w:val="Normal"/>
    <w:autoRedefine/>
    <w:uiPriority w:val="39"/>
    <w:rsid w:val="00063FDA"/>
    <w:pPr>
      <w:tabs>
        <w:tab w:val="left" w:pos="426"/>
        <w:tab w:val="right" w:leader="underscore" w:pos="9628"/>
      </w:tabs>
      <w:jc w:val="left"/>
    </w:pPr>
  </w:style>
  <w:style w:type="paragraph" w:customStyle="1" w:styleId="Entte1">
    <w:name w:val="Entête 1"/>
    <w:basedOn w:val="Normal"/>
    <w:next w:val="Normal"/>
    <w:link w:val="Entte1Car"/>
    <w:autoRedefine/>
    <w:rsid w:val="00B468AB"/>
    <w:pPr>
      <w:spacing w:before="480" w:after="60"/>
      <w:ind w:left="215"/>
      <w:jc w:val="center"/>
    </w:pPr>
    <w:rPr>
      <w:rFonts w:ascii="Trebuchet MS" w:hAnsi="Trebuchet MS" w:cs="Times New Roman"/>
      <w:b/>
      <w:i/>
      <w:caps/>
      <w:sz w:val="40"/>
      <w:szCs w:val="48"/>
      <w:lang w:eastAsia="en-US"/>
    </w:rPr>
  </w:style>
  <w:style w:type="character" w:customStyle="1" w:styleId="Entte1Car">
    <w:name w:val="Entête 1 Car"/>
    <w:link w:val="Entte1"/>
    <w:rsid w:val="00B468AB"/>
    <w:rPr>
      <w:rFonts w:ascii="Trebuchet MS" w:hAnsi="Trebuchet MS"/>
      <w:b/>
      <w:i/>
      <w:caps/>
      <w:sz w:val="40"/>
      <w:szCs w:val="48"/>
      <w:lang w:eastAsia="en-US"/>
    </w:rPr>
  </w:style>
  <w:style w:type="paragraph" w:customStyle="1" w:styleId="Entte2">
    <w:name w:val="Entête 2"/>
    <w:basedOn w:val="Normal"/>
    <w:next w:val="Normal"/>
    <w:link w:val="Entte2Car"/>
    <w:autoRedefine/>
    <w:rsid w:val="000324E5"/>
    <w:pPr>
      <w:spacing w:after="60"/>
    </w:pPr>
    <w:rPr>
      <w:rFonts w:ascii="Trebuchet MS" w:hAnsi="Trebuchet MS" w:cs="Times New Roman"/>
      <w:caps/>
      <w:sz w:val="52"/>
      <w:szCs w:val="52"/>
      <w:lang w:eastAsia="en-US"/>
    </w:rPr>
  </w:style>
  <w:style w:type="character" w:customStyle="1" w:styleId="Entte2Car">
    <w:name w:val="Entête 2 Car"/>
    <w:link w:val="Entte2"/>
    <w:rsid w:val="000324E5"/>
    <w:rPr>
      <w:rFonts w:ascii="Trebuchet MS" w:hAnsi="Trebuchet MS"/>
      <w:caps/>
      <w:sz w:val="52"/>
      <w:szCs w:val="52"/>
      <w:lang w:eastAsia="en-US"/>
    </w:rPr>
  </w:style>
  <w:style w:type="paragraph" w:customStyle="1" w:styleId="Entte3">
    <w:name w:val="Entête 3"/>
    <w:basedOn w:val="Normal"/>
    <w:next w:val="Normal"/>
    <w:autoRedefine/>
    <w:rsid w:val="000324E5"/>
    <w:pPr>
      <w:spacing w:after="360"/>
      <w:ind w:left="215"/>
    </w:pPr>
    <w:rPr>
      <w:rFonts w:ascii="Calibri" w:hAnsi="Calibri"/>
      <w:b/>
      <w:i/>
      <w:iCs/>
      <w:caps/>
      <w:sz w:val="56"/>
      <w:szCs w:val="40"/>
    </w:rPr>
  </w:style>
  <w:style w:type="paragraph" w:styleId="Header">
    <w:name w:val="header"/>
    <w:basedOn w:val="Normal"/>
    <w:autoRedefine/>
    <w:rsid w:val="003755FC"/>
    <w:pPr>
      <w:tabs>
        <w:tab w:val="center" w:pos="4757"/>
        <w:tab w:val="right" w:pos="9072"/>
      </w:tabs>
      <w:ind w:left="363" w:right="-992" w:firstLine="130"/>
      <w:jc w:val="center"/>
    </w:pPr>
    <w:rPr>
      <w:rFonts w:ascii="Calibri" w:hAnsi="Calibri"/>
      <w:caps/>
    </w:rPr>
  </w:style>
  <w:style w:type="paragraph" w:styleId="Footer">
    <w:name w:val="footer"/>
    <w:basedOn w:val="Normal"/>
    <w:rsid w:val="00BC553A"/>
    <w:pPr>
      <w:tabs>
        <w:tab w:val="center" w:pos="4536"/>
        <w:tab w:val="right" w:pos="9072"/>
      </w:tabs>
    </w:pPr>
  </w:style>
  <w:style w:type="paragraph" w:styleId="TOC2">
    <w:name w:val="toc 2"/>
    <w:basedOn w:val="Normal"/>
    <w:next w:val="Normal"/>
    <w:autoRedefine/>
    <w:uiPriority w:val="39"/>
    <w:rsid w:val="00E537EF"/>
    <w:pPr>
      <w:tabs>
        <w:tab w:val="left" w:pos="960"/>
        <w:tab w:val="right" w:leader="underscore" w:pos="9628"/>
      </w:tabs>
      <w:spacing w:before="80"/>
      <w:ind w:left="221" w:firstLine="346"/>
    </w:pPr>
  </w:style>
  <w:style w:type="paragraph" w:styleId="TOC3">
    <w:name w:val="toc 3"/>
    <w:basedOn w:val="Normal"/>
    <w:next w:val="Normal"/>
    <w:autoRedefine/>
    <w:uiPriority w:val="39"/>
    <w:rsid w:val="00E537EF"/>
    <w:pPr>
      <w:tabs>
        <w:tab w:val="left" w:pos="1418"/>
        <w:tab w:val="right" w:leader="underscore" w:pos="9628"/>
      </w:tabs>
      <w:spacing w:before="40"/>
      <w:ind w:left="442" w:firstLine="409"/>
    </w:pPr>
  </w:style>
  <w:style w:type="paragraph" w:styleId="TOC4">
    <w:name w:val="toc 4"/>
    <w:basedOn w:val="Normal"/>
    <w:next w:val="Normal"/>
    <w:autoRedefine/>
    <w:semiHidden/>
    <w:rsid w:val="00EC346F"/>
    <w:pPr>
      <w:ind w:left="660"/>
    </w:pPr>
  </w:style>
  <w:style w:type="character" w:styleId="Hyperlink">
    <w:name w:val="Hyperlink"/>
    <w:uiPriority w:val="99"/>
    <w:rsid w:val="00EC346F"/>
    <w:rPr>
      <w:color w:val="0000FF"/>
      <w:u w:val="single"/>
    </w:rPr>
  </w:style>
  <w:style w:type="paragraph" w:styleId="BodyText">
    <w:name w:val="Body Text"/>
    <w:aliases w:val="R&amp;S - Corps de texte,ändrad,body indent,Cdt,Base debut"/>
    <w:basedOn w:val="Normal"/>
    <w:link w:val="BodyTextChar"/>
    <w:rsid w:val="00005D16"/>
    <w:pPr>
      <w:ind w:firstLine="709"/>
    </w:pPr>
    <w:rPr>
      <w:rFonts w:cs="Times New Roman"/>
      <w:sz w:val="20"/>
      <w:lang w:eastAsia="en-US"/>
    </w:rPr>
  </w:style>
  <w:style w:type="character" w:customStyle="1" w:styleId="BodyTextChar">
    <w:name w:val="Body Text Char"/>
    <w:aliases w:val="R&amp;S - Corps de texte Char,ändrad Char,body indent Char,Cdt Char,Base debut Char"/>
    <w:link w:val="BodyText"/>
    <w:rsid w:val="00005D16"/>
    <w:rPr>
      <w:rFonts w:ascii="Arial" w:hAnsi="Arial"/>
      <w:lang w:val="fr-FR" w:eastAsia="en-US" w:bidi="ar-SA"/>
    </w:rPr>
  </w:style>
  <w:style w:type="paragraph" w:customStyle="1" w:styleId="Tableau-Corpsdetexte">
    <w:name w:val="Tableau - Corps de texte"/>
    <w:link w:val="Tableau-CorpsdetexteCar"/>
    <w:autoRedefine/>
    <w:rsid w:val="004B2CF2"/>
    <w:pPr>
      <w:tabs>
        <w:tab w:val="left" w:pos="252"/>
      </w:tabs>
    </w:pPr>
    <w:rPr>
      <w:rFonts w:ascii="Arial" w:hAnsi="Arial"/>
      <w:sz w:val="16"/>
    </w:rPr>
  </w:style>
  <w:style w:type="table" w:styleId="TableGrid">
    <w:name w:val="Table Grid"/>
    <w:basedOn w:val="TableNormal"/>
    <w:rsid w:val="00D7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D7750C"/>
    <w:rPr>
      <w:b/>
      <w:bCs/>
      <w:sz w:val="20"/>
    </w:rPr>
  </w:style>
  <w:style w:type="paragraph" w:styleId="BalloonText">
    <w:name w:val="Balloon Text"/>
    <w:basedOn w:val="Normal"/>
    <w:semiHidden/>
    <w:rsid w:val="00D7750C"/>
    <w:rPr>
      <w:rFonts w:ascii="Tahoma" w:hAnsi="Tahoma" w:cs="Tahoma"/>
      <w:sz w:val="16"/>
      <w:szCs w:val="16"/>
    </w:rPr>
  </w:style>
  <w:style w:type="character" w:styleId="CommentReference">
    <w:name w:val="annotation reference"/>
    <w:semiHidden/>
    <w:rsid w:val="00D7750C"/>
    <w:rPr>
      <w:sz w:val="16"/>
      <w:szCs w:val="16"/>
    </w:rPr>
  </w:style>
  <w:style w:type="paragraph" w:styleId="CommentText">
    <w:name w:val="annotation text"/>
    <w:basedOn w:val="Normal"/>
    <w:semiHidden/>
    <w:rsid w:val="00D7750C"/>
    <w:rPr>
      <w:sz w:val="20"/>
    </w:rPr>
  </w:style>
  <w:style w:type="paragraph" w:customStyle="1" w:styleId="Titretableau">
    <w:name w:val="Titre tableau"/>
    <w:basedOn w:val="Normal"/>
    <w:rsid w:val="00D7750C"/>
    <w:pPr>
      <w:widowControl w:val="0"/>
      <w:jc w:val="center"/>
    </w:pPr>
    <w:rPr>
      <w:bCs/>
      <w:color w:val="FFFFFF"/>
      <w:sz w:val="16"/>
      <w:lang w:eastAsia="ja-JP"/>
    </w:rPr>
  </w:style>
  <w:style w:type="paragraph" w:styleId="CommentSubject">
    <w:name w:val="annotation subject"/>
    <w:basedOn w:val="CommentText"/>
    <w:next w:val="CommentText"/>
    <w:semiHidden/>
    <w:rsid w:val="00DE27BE"/>
    <w:rPr>
      <w:b/>
      <w:bCs/>
    </w:rPr>
  </w:style>
  <w:style w:type="paragraph" w:customStyle="1" w:styleId="Tableau-Entte">
    <w:name w:val="Tableau - Entête"/>
    <w:next w:val="Normal"/>
    <w:autoRedefine/>
    <w:rsid w:val="00295E40"/>
    <w:pPr>
      <w:jc w:val="center"/>
    </w:pPr>
    <w:rPr>
      <w:rFonts w:ascii="Arial" w:hAnsi="Arial" w:cs="Arial"/>
      <w:b/>
      <w:sz w:val="18"/>
      <w:lang w:eastAsia="en-US"/>
    </w:rPr>
  </w:style>
  <w:style w:type="paragraph" w:customStyle="1" w:styleId="LgendeImage">
    <w:name w:val="Légende Image"/>
    <w:basedOn w:val="Caption"/>
    <w:rsid w:val="00B15C11"/>
    <w:pPr>
      <w:jc w:val="center"/>
    </w:pPr>
  </w:style>
  <w:style w:type="paragraph" w:customStyle="1" w:styleId="Image">
    <w:name w:val="Image"/>
    <w:basedOn w:val="Normal"/>
    <w:next w:val="Normal"/>
    <w:autoRedefine/>
    <w:rsid w:val="00B15C11"/>
    <w:pPr>
      <w:jc w:val="center"/>
    </w:pPr>
  </w:style>
  <w:style w:type="numbering" w:customStyle="1" w:styleId="ListePuces1">
    <w:name w:val="Liste Puces 1"/>
    <w:basedOn w:val="NoList"/>
    <w:rsid w:val="00B15C11"/>
    <w:pPr>
      <w:numPr>
        <w:numId w:val="2"/>
      </w:numPr>
    </w:pPr>
  </w:style>
  <w:style w:type="numbering" w:customStyle="1" w:styleId="ListePuces2">
    <w:name w:val="Liste Puces 2"/>
    <w:basedOn w:val="NoList"/>
    <w:rsid w:val="00681641"/>
    <w:pPr>
      <w:numPr>
        <w:numId w:val="3"/>
      </w:numPr>
    </w:pPr>
  </w:style>
  <w:style w:type="paragraph" w:styleId="DocumentMap">
    <w:name w:val="Document Map"/>
    <w:basedOn w:val="Normal"/>
    <w:semiHidden/>
    <w:rsid w:val="00BD55E8"/>
    <w:pPr>
      <w:shd w:val="clear" w:color="auto" w:fill="000080"/>
    </w:pPr>
    <w:rPr>
      <w:rFonts w:ascii="Tahoma" w:hAnsi="Tahoma" w:cs="Tahoma"/>
    </w:rPr>
  </w:style>
  <w:style w:type="paragraph" w:customStyle="1" w:styleId="CarCarCar">
    <w:name w:val="Car Car Car"/>
    <w:basedOn w:val="Normal"/>
    <w:semiHidden/>
    <w:rsid w:val="007B55F3"/>
    <w:pPr>
      <w:autoSpaceDE w:val="0"/>
      <w:autoSpaceDN w:val="0"/>
      <w:adjustRightInd w:val="0"/>
      <w:spacing w:after="160" w:line="240" w:lineRule="exact"/>
      <w:ind w:left="40"/>
    </w:pPr>
    <w:rPr>
      <w:color w:val="333333"/>
      <w:sz w:val="20"/>
      <w:szCs w:val="24"/>
      <w:lang w:val="en-US"/>
    </w:rPr>
  </w:style>
  <w:style w:type="paragraph" w:customStyle="1" w:styleId="StyleGrasSoulignement">
    <w:name w:val="Style Gras Soulignement"/>
    <w:basedOn w:val="Tableau-Corpsdetexte"/>
    <w:next w:val="Tableau-Corpsdetexte"/>
    <w:rsid w:val="00005D16"/>
    <w:rPr>
      <w:b/>
      <w:bCs/>
      <w:u w:val="single"/>
    </w:rPr>
  </w:style>
  <w:style w:type="paragraph" w:customStyle="1" w:styleId="Tableau">
    <w:name w:val="Tableau"/>
    <w:basedOn w:val="Tableau-Corpsdetexte"/>
    <w:rsid w:val="000D7BB1"/>
  </w:style>
  <w:style w:type="paragraph" w:customStyle="1" w:styleId="CarCar">
    <w:name w:val="Car Car"/>
    <w:basedOn w:val="Normal"/>
    <w:semiHidden/>
    <w:rsid w:val="00631C95"/>
    <w:pPr>
      <w:spacing w:after="160" w:line="240" w:lineRule="exact"/>
    </w:pPr>
    <w:rPr>
      <w:color w:val="333333"/>
      <w:sz w:val="20"/>
      <w:szCs w:val="24"/>
      <w:lang w:val="en-US"/>
    </w:rPr>
  </w:style>
  <w:style w:type="character" w:customStyle="1" w:styleId="Tableau-CorpsdetexteCar">
    <w:name w:val="Tableau - Corps de texte Car"/>
    <w:link w:val="Tableau-Corpsdetexte"/>
    <w:rsid w:val="004B2CF2"/>
    <w:rPr>
      <w:rFonts w:ascii="Arial" w:hAnsi="Arial"/>
      <w:sz w:val="16"/>
      <w:lang w:val="fr-FR" w:eastAsia="fr-FR" w:bidi="ar-SA"/>
    </w:rPr>
  </w:style>
  <w:style w:type="paragraph" w:customStyle="1" w:styleId="CarCar1">
    <w:name w:val="Car Car1"/>
    <w:basedOn w:val="Normal"/>
    <w:semiHidden/>
    <w:rsid w:val="00E60B9B"/>
    <w:pPr>
      <w:spacing w:after="160" w:line="240" w:lineRule="exact"/>
    </w:pPr>
    <w:rPr>
      <w:rFonts w:cs="Times New Roman"/>
      <w:color w:val="333333"/>
      <w:szCs w:val="24"/>
      <w:lang w:val="en-US"/>
    </w:rPr>
  </w:style>
  <w:style w:type="table" w:customStyle="1" w:styleId="MediumGrid3-Accent11">
    <w:name w:val="Medium Grid 3 - Accent 11"/>
    <w:basedOn w:val="TableNormal"/>
    <w:uiPriority w:val="69"/>
    <w:rsid w:val="006318A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Indent">
    <w:name w:val="Normal Indent"/>
    <w:basedOn w:val="Normal"/>
    <w:rsid w:val="005445C8"/>
    <w:pPr>
      <w:widowControl w:val="0"/>
      <w:numPr>
        <w:numId w:val="4"/>
      </w:numPr>
      <w:tabs>
        <w:tab w:val="clear" w:pos="360"/>
      </w:tabs>
      <w:spacing w:before="60" w:after="60"/>
      <w:ind w:left="426"/>
    </w:pPr>
    <w:rPr>
      <w:szCs w:val="22"/>
      <w:lang w:val="en-US" w:eastAsia="de-DE"/>
    </w:rPr>
  </w:style>
  <w:style w:type="character" w:customStyle="1" w:styleId="Heading2Char">
    <w:name w:val="Heading 2 Char"/>
    <w:aliases w:val="Titre 2 av num Char,(Sous-titre) Char,Niveau 1 1 Char,Heading 2 CFMU Char,Chapitre Char"/>
    <w:link w:val="Heading2"/>
    <w:rsid w:val="00064CA3"/>
    <w:rPr>
      <w:rFonts w:ascii="Verdana" w:hAnsi="Verdana"/>
      <w:b/>
      <w:bCs/>
      <w:i/>
      <w:iCs/>
      <w:sz w:val="26"/>
      <w:szCs w:val="28"/>
      <w:lang w:eastAsia="en-US"/>
    </w:rPr>
  </w:style>
  <w:style w:type="character" w:customStyle="1" w:styleId="Heading9Char">
    <w:name w:val="Heading 9 Char"/>
    <w:link w:val="Heading9"/>
    <w:rsid w:val="00064CA3"/>
    <w:rPr>
      <w:rFonts w:ascii="Arial" w:hAnsi="Arial"/>
      <w:sz w:val="16"/>
    </w:rPr>
  </w:style>
  <w:style w:type="paragraph" w:customStyle="1" w:styleId="ListParagraph1">
    <w:name w:val="List Paragraph1"/>
    <w:basedOn w:val="Normal"/>
    <w:uiPriority w:val="34"/>
    <w:qFormat/>
    <w:rsid w:val="00B5358C"/>
    <w:pPr>
      <w:spacing w:after="200" w:line="276" w:lineRule="auto"/>
      <w:ind w:left="720"/>
      <w:contextualSpacing/>
    </w:pPr>
    <w:rPr>
      <w:rFonts w:ascii="Calibri" w:eastAsia="Calibri" w:hAnsi="Calibri" w:cs="Times New Roman"/>
      <w:szCs w:val="22"/>
    </w:rPr>
  </w:style>
  <w:style w:type="paragraph" w:customStyle="1" w:styleId="Quote1">
    <w:name w:val="Quote1"/>
    <w:basedOn w:val="Normal"/>
    <w:next w:val="Normal"/>
    <w:link w:val="QuoteChar"/>
    <w:uiPriority w:val="29"/>
    <w:qFormat/>
    <w:rsid w:val="00B135ED"/>
    <w:pPr>
      <w:spacing w:after="200" w:line="276" w:lineRule="auto"/>
    </w:pPr>
    <w:rPr>
      <w:rFonts w:ascii="Calibri" w:hAnsi="Calibri" w:cs="Times New Roman"/>
      <w:i/>
      <w:iCs/>
      <w:color w:val="000000"/>
      <w:szCs w:val="22"/>
    </w:rPr>
  </w:style>
  <w:style w:type="character" w:customStyle="1" w:styleId="QuoteChar">
    <w:name w:val="Quote Char"/>
    <w:link w:val="Quote1"/>
    <w:uiPriority w:val="29"/>
    <w:rsid w:val="00B135ED"/>
    <w:rPr>
      <w:rFonts w:ascii="Calibri" w:eastAsia="Times New Roman" w:hAnsi="Calibri" w:cs="Times New Roman"/>
      <w:i/>
      <w:iCs/>
      <w:color w:val="000000"/>
      <w:sz w:val="22"/>
      <w:szCs w:val="22"/>
    </w:rPr>
  </w:style>
  <w:style w:type="paragraph" w:styleId="NoSpacing">
    <w:name w:val="No Spacing"/>
    <w:link w:val="NoSpacingChar"/>
    <w:uiPriority w:val="1"/>
    <w:qFormat/>
    <w:rsid w:val="00582B4E"/>
    <w:pPr>
      <w:ind w:left="213"/>
    </w:pPr>
    <w:rPr>
      <w:rFonts w:ascii="Arial" w:hAnsi="Arial" w:cs="Arial"/>
      <w:lang w:eastAsia="en-US"/>
    </w:rPr>
  </w:style>
  <w:style w:type="paragraph" w:styleId="EndnoteText">
    <w:name w:val="endnote text"/>
    <w:basedOn w:val="Normal"/>
    <w:link w:val="EndnoteTextChar"/>
    <w:uiPriority w:val="99"/>
    <w:semiHidden/>
    <w:unhideWhenUsed/>
    <w:rsid w:val="00CD7BCC"/>
    <w:rPr>
      <w:sz w:val="20"/>
    </w:rPr>
  </w:style>
  <w:style w:type="character" w:customStyle="1" w:styleId="EndnoteTextChar">
    <w:name w:val="Endnote Text Char"/>
    <w:basedOn w:val="DefaultParagraphFont"/>
    <w:link w:val="EndnoteText"/>
    <w:uiPriority w:val="99"/>
    <w:semiHidden/>
    <w:rsid w:val="00CD7BCC"/>
    <w:rPr>
      <w:rFonts w:ascii="Arial" w:hAnsi="Arial" w:cs="Arial"/>
      <w:lang w:eastAsia="en-US"/>
    </w:rPr>
  </w:style>
  <w:style w:type="character" w:styleId="EndnoteReference">
    <w:name w:val="endnote reference"/>
    <w:basedOn w:val="DefaultParagraphFont"/>
    <w:uiPriority w:val="99"/>
    <w:semiHidden/>
    <w:unhideWhenUsed/>
    <w:rsid w:val="00CD7BCC"/>
    <w:rPr>
      <w:vertAlign w:val="superscript"/>
    </w:rPr>
  </w:style>
  <w:style w:type="paragraph" w:styleId="Title">
    <w:name w:val="Title"/>
    <w:basedOn w:val="Normal"/>
    <w:next w:val="Normal"/>
    <w:link w:val="TitleChar"/>
    <w:uiPriority w:val="10"/>
    <w:qFormat/>
    <w:rsid w:val="008B61C5"/>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uiPriority w:val="10"/>
    <w:rsid w:val="008B61C5"/>
    <w:rPr>
      <w:rFonts w:ascii="Cambria" w:eastAsia="Times New Roman" w:hAnsi="Cambria" w:cs="Times New Roman"/>
      <w:b/>
      <w:bCs/>
      <w:kern w:val="28"/>
      <w:sz w:val="32"/>
      <w:szCs w:val="32"/>
    </w:rPr>
  </w:style>
  <w:style w:type="character" w:styleId="FollowedHyperlink">
    <w:name w:val="FollowedHyperlink"/>
    <w:basedOn w:val="DefaultParagraphFont"/>
    <w:uiPriority w:val="99"/>
    <w:semiHidden/>
    <w:unhideWhenUsed/>
    <w:rsid w:val="00A34534"/>
    <w:rPr>
      <w:color w:val="954F72" w:themeColor="followedHyperlink"/>
      <w:u w:val="single"/>
    </w:rPr>
  </w:style>
  <w:style w:type="character" w:customStyle="1" w:styleId="NoSpacingChar">
    <w:name w:val="No Spacing Char"/>
    <w:basedOn w:val="DefaultParagraphFont"/>
    <w:link w:val="NoSpacing"/>
    <w:uiPriority w:val="1"/>
    <w:rsid w:val="0094740B"/>
    <w:rPr>
      <w:rFonts w:ascii="Arial" w:hAnsi="Arial" w:cs="Arial"/>
      <w:lang w:eastAsia="en-US"/>
    </w:rPr>
  </w:style>
  <w:style w:type="character" w:styleId="PlaceholderText">
    <w:name w:val="Placeholder Text"/>
    <w:basedOn w:val="DefaultParagraphFont"/>
    <w:uiPriority w:val="99"/>
    <w:semiHidden/>
    <w:rsid w:val="003A6D72"/>
    <w:rPr>
      <w:color w:val="808080"/>
    </w:rPr>
  </w:style>
  <w:style w:type="paragraph" w:styleId="ListParagraph">
    <w:name w:val="List Paragraph"/>
    <w:basedOn w:val="Normal"/>
    <w:uiPriority w:val="34"/>
    <w:qFormat/>
    <w:rsid w:val="00AB4C1B"/>
    <w:pPr>
      <w:ind w:left="720"/>
      <w:contextualSpacing/>
    </w:pPr>
  </w:style>
  <w:style w:type="paragraph" w:customStyle="1" w:styleId="Justifi">
    <w:name w:val="Justifié"/>
    <w:basedOn w:val="Normal"/>
    <w:link w:val="JustifiChar"/>
    <w:autoRedefine/>
    <w:qFormat/>
    <w:rsid w:val="009216B8"/>
  </w:style>
  <w:style w:type="character" w:customStyle="1" w:styleId="JustifiChar">
    <w:name w:val="Justifié Char"/>
    <w:basedOn w:val="DefaultParagraphFont"/>
    <w:link w:val="Justifi"/>
    <w:rsid w:val="009216B8"/>
    <w:rPr>
      <w:rFonts w:ascii="Arial" w:hAnsi="Arial" w:cs="Arial"/>
      <w:sz w:val="22"/>
    </w:rPr>
  </w:style>
  <w:style w:type="paragraph" w:styleId="FootnoteText">
    <w:name w:val="footnote text"/>
    <w:basedOn w:val="Normal"/>
    <w:link w:val="FootnoteTextChar"/>
    <w:uiPriority w:val="99"/>
    <w:semiHidden/>
    <w:unhideWhenUsed/>
    <w:rsid w:val="008D3AF5"/>
    <w:pPr>
      <w:spacing w:before="0" w:after="0"/>
    </w:pPr>
    <w:rPr>
      <w:sz w:val="20"/>
    </w:rPr>
  </w:style>
  <w:style w:type="character" w:customStyle="1" w:styleId="FootnoteTextChar">
    <w:name w:val="Footnote Text Char"/>
    <w:basedOn w:val="DefaultParagraphFont"/>
    <w:link w:val="FootnoteText"/>
    <w:uiPriority w:val="99"/>
    <w:semiHidden/>
    <w:rsid w:val="008D3AF5"/>
    <w:rPr>
      <w:rFonts w:ascii="Arial" w:hAnsi="Arial" w:cs="Arial"/>
    </w:rPr>
  </w:style>
  <w:style w:type="character" w:styleId="FootnoteReference">
    <w:name w:val="footnote reference"/>
    <w:basedOn w:val="DefaultParagraphFont"/>
    <w:uiPriority w:val="99"/>
    <w:semiHidden/>
    <w:unhideWhenUsed/>
    <w:rsid w:val="008D3AF5"/>
    <w:rPr>
      <w:vertAlign w:val="superscript"/>
    </w:rPr>
  </w:style>
  <w:style w:type="paragraph" w:customStyle="1" w:styleId="Graph">
    <w:name w:val="Graph"/>
    <w:basedOn w:val="Normal"/>
    <w:link w:val="GraphChar"/>
    <w:autoRedefine/>
    <w:qFormat/>
    <w:rsid w:val="00041825"/>
    <w:pPr>
      <w:jc w:val="center"/>
    </w:pPr>
    <w:rPr>
      <w:noProof/>
      <w:sz w:val="14"/>
      <w:szCs w:val="12"/>
    </w:rPr>
  </w:style>
  <w:style w:type="character" w:customStyle="1" w:styleId="GraphChar">
    <w:name w:val="Graph Char"/>
    <w:basedOn w:val="DefaultParagraphFont"/>
    <w:link w:val="Graph"/>
    <w:rsid w:val="00041825"/>
    <w:rPr>
      <w:rFonts w:ascii="Arial" w:hAnsi="Arial" w:cs="Arial"/>
      <w:noProof/>
      <w:sz w:val="14"/>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21695">
      <w:bodyDiv w:val="1"/>
      <w:marLeft w:val="0"/>
      <w:marRight w:val="0"/>
      <w:marTop w:val="0"/>
      <w:marBottom w:val="0"/>
      <w:divBdr>
        <w:top w:val="none" w:sz="0" w:space="0" w:color="auto"/>
        <w:left w:val="none" w:sz="0" w:space="0" w:color="auto"/>
        <w:bottom w:val="none" w:sz="0" w:space="0" w:color="auto"/>
        <w:right w:val="none" w:sz="0" w:space="0" w:color="auto"/>
      </w:divBdr>
    </w:div>
    <w:div w:id="255528811">
      <w:bodyDiv w:val="1"/>
      <w:marLeft w:val="0"/>
      <w:marRight w:val="0"/>
      <w:marTop w:val="0"/>
      <w:marBottom w:val="0"/>
      <w:divBdr>
        <w:top w:val="none" w:sz="0" w:space="0" w:color="auto"/>
        <w:left w:val="none" w:sz="0" w:space="0" w:color="auto"/>
        <w:bottom w:val="none" w:sz="0" w:space="0" w:color="auto"/>
        <w:right w:val="none" w:sz="0" w:space="0" w:color="auto"/>
      </w:divBdr>
    </w:div>
    <w:div w:id="331221234">
      <w:bodyDiv w:val="1"/>
      <w:marLeft w:val="0"/>
      <w:marRight w:val="0"/>
      <w:marTop w:val="0"/>
      <w:marBottom w:val="0"/>
      <w:divBdr>
        <w:top w:val="none" w:sz="0" w:space="0" w:color="auto"/>
        <w:left w:val="none" w:sz="0" w:space="0" w:color="auto"/>
        <w:bottom w:val="none" w:sz="0" w:space="0" w:color="auto"/>
        <w:right w:val="none" w:sz="0" w:space="0" w:color="auto"/>
      </w:divBdr>
    </w:div>
    <w:div w:id="402336580">
      <w:bodyDiv w:val="1"/>
      <w:marLeft w:val="0"/>
      <w:marRight w:val="0"/>
      <w:marTop w:val="0"/>
      <w:marBottom w:val="0"/>
      <w:divBdr>
        <w:top w:val="none" w:sz="0" w:space="0" w:color="auto"/>
        <w:left w:val="none" w:sz="0" w:space="0" w:color="auto"/>
        <w:bottom w:val="none" w:sz="0" w:space="0" w:color="auto"/>
        <w:right w:val="none" w:sz="0" w:space="0" w:color="auto"/>
      </w:divBdr>
    </w:div>
    <w:div w:id="480192163">
      <w:bodyDiv w:val="1"/>
      <w:marLeft w:val="0"/>
      <w:marRight w:val="0"/>
      <w:marTop w:val="0"/>
      <w:marBottom w:val="0"/>
      <w:divBdr>
        <w:top w:val="none" w:sz="0" w:space="0" w:color="auto"/>
        <w:left w:val="none" w:sz="0" w:space="0" w:color="auto"/>
        <w:bottom w:val="none" w:sz="0" w:space="0" w:color="auto"/>
        <w:right w:val="none" w:sz="0" w:space="0" w:color="auto"/>
      </w:divBdr>
    </w:div>
    <w:div w:id="507796015">
      <w:bodyDiv w:val="1"/>
      <w:marLeft w:val="0"/>
      <w:marRight w:val="0"/>
      <w:marTop w:val="0"/>
      <w:marBottom w:val="0"/>
      <w:divBdr>
        <w:top w:val="none" w:sz="0" w:space="0" w:color="auto"/>
        <w:left w:val="none" w:sz="0" w:space="0" w:color="auto"/>
        <w:bottom w:val="none" w:sz="0" w:space="0" w:color="auto"/>
        <w:right w:val="none" w:sz="0" w:space="0" w:color="auto"/>
      </w:divBdr>
    </w:div>
    <w:div w:id="724530179">
      <w:bodyDiv w:val="1"/>
      <w:marLeft w:val="0"/>
      <w:marRight w:val="0"/>
      <w:marTop w:val="0"/>
      <w:marBottom w:val="0"/>
      <w:divBdr>
        <w:top w:val="none" w:sz="0" w:space="0" w:color="auto"/>
        <w:left w:val="none" w:sz="0" w:space="0" w:color="auto"/>
        <w:bottom w:val="none" w:sz="0" w:space="0" w:color="auto"/>
        <w:right w:val="none" w:sz="0" w:space="0" w:color="auto"/>
      </w:divBdr>
    </w:div>
    <w:div w:id="802306142">
      <w:bodyDiv w:val="1"/>
      <w:marLeft w:val="0"/>
      <w:marRight w:val="0"/>
      <w:marTop w:val="0"/>
      <w:marBottom w:val="0"/>
      <w:divBdr>
        <w:top w:val="none" w:sz="0" w:space="0" w:color="auto"/>
        <w:left w:val="none" w:sz="0" w:space="0" w:color="auto"/>
        <w:bottom w:val="none" w:sz="0" w:space="0" w:color="auto"/>
        <w:right w:val="none" w:sz="0" w:space="0" w:color="auto"/>
      </w:divBdr>
    </w:div>
    <w:div w:id="802574063">
      <w:bodyDiv w:val="1"/>
      <w:marLeft w:val="0"/>
      <w:marRight w:val="0"/>
      <w:marTop w:val="0"/>
      <w:marBottom w:val="0"/>
      <w:divBdr>
        <w:top w:val="none" w:sz="0" w:space="0" w:color="auto"/>
        <w:left w:val="none" w:sz="0" w:space="0" w:color="auto"/>
        <w:bottom w:val="none" w:sz="0" w:space="0" w:color="auto"/>
        <w:right w:val="none" w:sz="0" w:space="0" w:color="auto"/>
      </w:divBdr>
    </w:div>
    <w:div w:id="1022128090">
      <w:bodyDiv w:val="1"/>
      <w:marLeft w:val="0"/>
      <w:marRight w:val="0"/>
      <w:marTop w:val="0"/>
      <w:marBottom w:val="0"/>
      <w:divBdr>
        <w:top w:val="none" w:sz="0" w:space="0" w:color="auto"/>
        <w:left w:val="none" w:sz="0" w:space="0" w:color="auto"/>
        <w:bottom w:val="none" w:sz="0" w:space="0" w:color="auto"/>
        <w:right w:val="none" w:sz="0" w:space="0" w:color="auto"/>
      </w:divBdr>
    </w:div>
    <w:div w:id="1133989097">
      <w:bodyDiv w:val="1"/>
      <w:marLeft w:val="0"/>
      <w:marRight w:val="0"/>
      <w:marTop w:val="0"/>
      <w:marBottom w:val="0"/>
      <w:divBdr>
        <w:top w:val="none" w:sz="0" w:space="0" w:color="auto"/>
        <w:left w:val="none" w:sz="0" w:space="0" w:color="auto"/>
        <w:bottom w:val="none" w:sz="0" w:space="0" w:color="auto"/>
        <w:right w:val="none" w:sz="0" w:space="0" w:color="auto"/>
      </w:divBdr>
    </w:div>
    <w:div w:id="1149516689">
      <w:bodyDiv w:val="1"/>
      <w:marLeft w:val="0"/>
      <w:marRight w:val="0"/>
      <w:marTop w:val="0"/>
      <w:marBottom w:val="0"/>
      <w:divBdr>
        <w:top w:val="none" w:sz="0" w:space="0" w:color="auto"/>
        <w:left w:val="none" w:sz="0" w:space="0" w:color="auto"/>
        <w:bottom w:val="none" w:sz="0" w:space="0" w:color="auto"/>
        <w:right w:val="none" w:sz="0" w:space="0" w:color="auto"/>
      </w:divBdr>
    </w:div>
    <w:div w:id="1187868735">
      <w:bodyDiv w:val="1"/>
      <w:marLeft w:val="0"/>
      <w:marRight w:val="0"/>
      <w:marTop w:val="0"/>
      <w:marBottom w:val="0"/>
      <w:divBdr>
        <w:top w:val="none" w:sz="0" w:space="0" w:color="auto"/>
        <w:left w:val="none" w:sz="0" w:space="0" w:color="auto"/>
        <w:bottom w:val="none" w:sz="0" w:space="0" w:color="auto"/>
        <w:right w:val="none" w:sz="0" w:space="0" w:color="auto"/>
      </w:divBdr>
    </w:div>
    <w:div w:id="1190726435">
      <w:bodyDiv w:val="1"/>
      <w:marLeft w:val="0"/>
      <w:marRight w:val="0"/>
      <w:marTop w:val="0"/>
      <w:marBottom w:val="0"/>
      <w:divBdr>
        <w:top w:val="none" w:sz="0" w:space="0" w:color="auto"/>
        <w:left w:val="none" w:sz="0" w:space="0" w:color="auto"/>
        <w:bottom w:val="none" w:sz="0" w:space="0" w:color="auto"/>
        <w:right w:val="none" w:sz="0" w:space="0" w:color="auto"/>
      </w:divBdr>
    </w:div>
    <w:div w:id="1198464543">
      <w:bodyDiv w:val="1"/>
      <w:marLeft w:val="0"/>
      <w:marRight w:val="0"/>
      <w:marTop w:val="0"/>
      <w:marBottom w:val="0"/>
      <w:divBdr>
        <w:top w:val="none" w:sz="0" w:space="0" w:color="auto"/>
        <w:left w:val="none" w:sz="0" w:space="0" w:color="auto"/>
        <w:bottom w:val="none" w:sz="0" w:space="0" w:color="auto"/>
        <w:right w:val="none" w:sz="0" w:space="0" w:color="auto"/>
      </w:divBdr>
    </w:div>
    <w:div w:id="1276903689">
      <w:bodyDiv w:val="1"/>
      <w:marLeft w:val="0"/>
      <w:marRight w:val="0"/>
      <w:marTop w:val="0"/>
      <w:marBottom w:val="0"/>
      <w:divBdr>
        <w:top w:val="none" w:sz="0" w:space="0" w:color="auto"/>
        <w:left w:val="none" w:sz="0" w:space="0" w:color="auto"/>
        <w:bottom w:val="none" w:sz="0" w:space="0" w:color="auto"/>
        <w:right w:val="none" w:sz="0" w:space="0" w:color="auto"/>
      </w:divBdr>
    </w:div>
    <w:div w:id="1317101653">
      <w:bodyDiv w:val="1"/>
      <w:marLeft w:val="0"/>
      <w:marRight w:val="0"/>
      <w:marTop w:val="0"/>
      <w:marBottom w:val="0"/>
      <w:divBdr>
        <w:top w:val="none" w:sz="0" w:space="0" w:color="auto"/>
        <w:left w:val="none" w:sz="0" w:space="0" w:color="auto"/>
        <w:bottom w:val="none" w:sz="0" w:space="0" w:color="auto"/>
        <w:right w:val="none" w:sz="0" w:space="0" w:color="auto"/>
      </w:divBdr>
    </w:div>
    <w:div w:id="1432894101">
      <w:bodyDiv w:val="1"/>
      <w:marLeft w:val="0"/>
      <w:marRight w:val="0"/>
      <w:marTop w:val="0"/>
      <w:marBottom w:val="0"/>
      <w:divBdr>
        <w:top w:val="none" w:sz="0" w:space="0" w:color="auto"/>
        <w:left w:val="none" w:sz="0" w:space="0" w:color="auto"/>
        <w:bottom w:val="none" w:sz="0" w:space="0" w:color="auto"/>
        <w:right w:val="none" w:sz="0" w:space="0" w:color="auto"/>
      </w:divBdr>
    </w:div>
    <w:div w:id="1503004300">
      <w:bodyDiv w:val="1"/>
      <w:marLeft w:val="0"/>
      <w:marRight w:val="0"/>
      <w:marTop w:val="0"/>
      <w:marBottom w:val="0"/>
      <w:divBdr>
        <w:top w:val="none" w:sz="0" w:space="0" w:color="auto"/>
        <w:left w:val="none" w:sz="0" w:space="0" w:color="auto"/>
        <w:bottom w:val="none" w:sz="0" w:space="0" w:color="auto"/>
        <w:right w:val="none" w:sz="0" w:space="0" w:color="auto"/>
      </w:divBdr>
    </w:div>
    <w:div w:id="1641768903">
      <w:bodyDiv w:val="1"/>
      <w:marLeft w:val="0"/>
      <w:marRight w:val="0"/>
      <w:marTop w:val="0"/>
      <w:marBottom w:val="0"/>
      <w:divBdr>
        <w:top w:val="none" w:sz="0" w:space="0" w:color="auto"/>
        <w:left w:val="none" w:sz="0" w:space="0" w:color="auto"/>
        <w:bottom w:val="none" w:sz="0" w:space="0" w:color="auto"/>
        <w:right w:val="none" w:sz="0" w:space="0" w:color="auto"/>
      </w:divBdr>
    </w:div>
    <w:div w:id="1755123641">
      <w:bodyDiv w:val="1"/>
      <w:marLeft w:val="0"/>
      <w:marRight w:val="0"/>
      <w:marTop w:val="0"/>
      <w:marBottom w:val="0"/>
      <w:divBdr>
        <w:top w:val="none" w:sz="0" w:space="0" w:color="auto"/>
        <w:left w:val="none" w:sz="0" w:space="0" w:color="auto"/>
        <w:bottom w:val="none" w:sz="0" w:space="0" w:color="auto"/>
        <w:right w:val="none" w:sz="0" w:space="0" w:color="auto"/>
      </w:divBdr>
      <w:divsChild>
        <w:div w:id="901452964">
          <w:marLeft w:val="0"/>
          <w:marRight w:val="0"/>
          <w:marTop w:val="0"/>
          <w:marBottom w:val="0"/>
          <w:divBdr>
            <w:top w:val="none" w:sz="0" w:space="0" w:color="auto"/>
            <w:left w:val="none" w:sz="0" w:space="0" w:color="auto"/>
            <w:bottom w:val="none" w:sz="0" w:space="0" w:color="auto"/>
            <w:right w:val="none" w:sz="0" w:space="0" w:color="auto"/>
          </w:divBdr>
          <w:divsChild>
            <w:div w:id="167819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70219">
      <w:bodyDiv w:val="1"/>
      <w:marLeft w:val="0"/>
      <w:marRight w:val="0"/>
      <w:marTop w:val="0"/>
      <w:marBottom w:val="0"/>
      <w:divBdr>
        <w:top w:val="none" w:sz="0" w:space="0" w:color="auto"/>
        <w:left w:val="none" w:sz="0" w:space="0" w:color="auto"/>
        <w:bottom w:val="none" w:sz="0" w:space="0" w:color="auto"/>
        <w:right w:val="none" w:sz="0" w:space="0" w:color="auto"/>
      </w:divBdr>
    </w:div>
    <w:div w:id="1767916537">
      <w:bodyDiv w:val="1"/>
      <w:marLeft w:val="0"/>
      <w:marRight w:val="0"/>
      <w:marTop w:val="0"/>
      <w:marBottom w:val="0"/>
      <w:divBdr>
        <w:top w:val="none" w:sz="0" w:space="0" w:color="auto"/>
        <w:left w:val="none" w:sz="0" w:space="0" w:color="auto"/>
        <w:bottom w:val="none" w:sz="0" w:space="0" w:color="auto"/>
        <w:right w:val="none" w:sz="0" w:space="0" w:color="auto"/>
      </w:divBdr>
    </w:div>
    <w:div w:id="1768427573">
      <w:bodyDiv w:val="1"/>
      <w:marLeft w:val="0"/>
      <w:marRight w:val="0"/>
      <w:marTop w:val="0"/>
      <w:marBottom w:val="0"/>
      <w:divBdr>
        <w:top w:val="none" w:sz="0" w:space="0" w:color="auto"/>
        <w:left w:val="none" w:sz="0" w:space="0" w:color="auto"/>
        <w:bottom w:val="none" w:sz="0" w:space="0" w:color="auto"/>
        <w:right w:val="none" w:sz="0" w:space="0" w:color="auto"/>
      </w:divBdr>
    </w:div>
    <w:div w:id="1776169805">
      <w:bodyDiv w:val="1"/>
      <w:marLeft w:val="0"/>
      <w:marRight w:val="0"/>
      <w:marTop w:val="0"/>
      <w:marBottom w:val="0"/>
      <w:divBdr>
        <w:top w:val="none" w:sz="0" w:space="0" w:color="auto"/>
        <w:left w:val="none" w:sz="0" w:space="0" w:color="auto"/>
        <w:bottom w:val="none" w:sz="0" w:space="0" w:color="auto"/>
        <w:right w:val="none" w:sz="0" w:space="0" w:color="auto"/>
      </w:divBdr>
    </w:div>
    <w:div w:id="1851484797">
      <w:bodyDiv w:val="1"/>
      <w:marLeft w:val="0"/>
      <w:marRight w:val="0"/>
      <w:marTop w:val="0"/>
      <w:marBottom w:val="0"/>
      <w:divBdr>
        <w:top w:val="none" w:sz="0" w:space="0" w:color="auto"/>
        <w:left w:val="none" w:sz="0" w:space="0" w:color="auto"/>
        <w:bottom w:val="none" w:sz="0" w:space="0" w:color="auto"/>
        <w:right w:val="none" w:sz="0" w:space="0" w:color="auto"/>
      </w:divBdr>
    </w:div>
    <w:div w:id="2082286982">
      <w:bodyDiv w:val="1"/>
      <w:marLeft w:val="0"/>
      <w:marRight w:val="0"/>
      <w:marTop w:val="0"/>
      <w:marBottom w:val="0"/>
      <w:divBdr>
        <w:top w:val="none" w:sz="0" w:space="0" w:color="auto"/>
        <w:left w:val="none" w:sz="0" w:space="0" w:color="auto"/>
        <w:bottom w:val="none" w:sz="0" w:space="0" w:color="auto"/>
        <w:right w:val="none" w:sz="0" w:space="0" w:color="auto"/>
      </w:divBdr>
    </w:div>
    <w:div w:id="2097705955">
      <w:bodyDiv w:val="1"/>
      <w:marLeft w:val="0"/>
      <w:marRight w:val="0"/>
      <w:marTop w:val="0"/>
      <w:marBottom w:val="0"/>
      <w:divBdr>
        <w:top w:val="none" w:sz="0" w:space="0" w:color="auto"/>
        <w:left w:val="none" w:sz="0" w:space="0" w:color="auto"/>
        <w:bottom w:val="none" w:sz="0" w:space="0" w:color="auto"/>
        <w:right w:val="none" w:sz="0" w:space="0" w:color="auto"/>
      </w:divBdr>
      <w:divsChild>
        <w:div w:id="306321323">
          <w:marLeft w:val="0"/>
          <w:marRight w:val="0"/>
          <w:marTop w:val="0"/>
          <w:marBottom w:val="0"/>
          <w:divBdr>
            <w:top w:val="none" w:sz="0" w:space="0" w:color="auto"/>
            <w:left w:val="none" w:sz="0" w:space="0" w:color="auto"/>
            <w:bottom w:val="none" w:sz="0" w:space="0" w:color="auto"/>
            <w:right w:val="none" w:sz="0" w:space="0" w:color="auto"/>
          </w:divBdr>
        </w:div>
        <w:div w:id="473834343">
          <w:marLeft w:val="0"/>
          <w:marRight w:val="0"/>
          <w:marTop w:val="0"/>
          <w:marBottom w:val="0"/>
          <w:divBdr>
            <w:top w:val="none" w:sz="0" w:space="0" w:color="auto"/>
            <w:left w:val="none" w:sz="0" w:space="0" w:color="auto"/>
            <w:bottom w:val="none" w:sz="0" w:space="0" w:color="auto"/>
            <w:right w:val="none" w:sz="0" w:space="0" w:color="auto"/>
          </w:divBdr>
        </w:div>
        <w:div w:id="717777770">
          <w:marLeft w:val="0"/>
          <w:marRight w:val="0"/>
          <w:marTop w:val="0"/>
          <w:marBottom w:val="0"/>
          <w:divBdr>
            <w:top w:val="none" w:sz="0" w:space="0" w:color="auto"/>
            <w:left w:val="none" w:sz="0" w:space="0" w:color="auto"/>
            <w:bottom w:val="none" w:sz="0" w:space="0" w:color="auto"/>
            <w:right w:val="none" w:sz="0" w:space="0" w:color="auto"/>
          </w:divBdr>
        </w:div>
        <w:div w:id="2014256744">
          <w:marLeft w:val="0"/>
          <w:marRight w:val="0"/>
          <w:marTop w:val="0"/>
          <w:marBottom w:val="0"/>
          <w:divBdr>
            <w:top w:val="none" w:sz="0" w:space="0" w:color="auto"/>
            <w:left w:val="none" w:sz="0" w:space="0" w:color="auto"/>
            <w:bottom w:val="none" w:sz="0" w:space="0" w:color="auto"/>
            <w:right w:val="none" w:sz="0" w:space="0" w:color="auto"/>
          </w:divBdr>
        </w:div>
      </w:divsChild>
    </w:div>
    <w:div w:id="211204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hyperlink" Target="http://www.mohamedelafrit.com/ept204"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mohamedelafrit.com/ept204"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ssagnetje\My%20Documents\Mod&#232;le%20DS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C7EF5F198C4527A786A4EB6A2AAB3F"/>
        <w:category>
          <w:name w:val="General"/>
          <w:gallery w:val="placeholder"/>
        </w:category>
        <w:types>
          <w:type w:val="bbPlcHdr"/>
        </w:types>
        <w:behaviors>
          <w:behavior w:val="content"/>
        </w:behaviors>
        <w:guid w:val="{21A80918-FEFF-458B-B776-0A7EE8CC7307}"/>
      </w:docPartPr>
      <w:docPartBody>
        <w:p w:rsidR="00AC5AB1" w:rsidRDefault="00AC5AB1" w:rsidP="00AC5AB1">
          <w:pPr>
            <w:pStyle w:val="EBC7EF5F198C4527A786A4EB6A2AAB3F"/>
          </w:pPr>
          <w:r w:rsidRPr="00BF18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407893"/>
    <w:rsid w:val="00025DCF"/>
    <w:rsid w:val="00077570"/>
    <w:rsid w:val="000E0706"/>
    <w:rsid w:val="00141BC8"/>
    <w:rsid w:val="00297B44"/>
    <w:rsid w:val="002A3205"/>
    <w:rsid w:val="003168E7"/>
    <w:rsid w:val="00407893"/>
    <w:rsid w:val="00422E19"/>
    <w:rsid w:val="00515610"/>
    <w:rsid w:val="00633A36"/>
    <w:rsid w:val="00726B40"/>
    <w:rsid w:val="00780600"/>
    <w:rsid w:val="00960E76"/>
    <w:rsid w:val="00AC5AB1"/>
    <w:rsid w:val="00B55BF9"/>
    <w:rsid w:val="00B71983"/>
    <w:rsid w:val="00CC4C1F"/>
    <w:rsid w:val="00D00FA4"/>
    <w:rsid w:val="00E77B8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A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F96995B4214652A3BD6B5F7352DC94">
    <w:name w:val="1FF96995B4214652A3BD6B5F7352DC94"/>
    <w:rsid w:val="00407893"/>
  </w:style>
  <w:style w:type="paragraph" w:customStyle="1" w:styleId="13948BB4E9F54E43A409943098D09F47">
    <w:name w:val="13948BB4E9F54E43A409943098D09F47"/>
    <w:rsid w:val="00407893"/>
  </w:style>
  <w:style w:type="paragraph" w:customStyle="1" w:styleId="CF815A726D6A42A3895AC8F509A5E09C">
    <w:name w:val="CF815A726D6A42A3895AC8F509A5E09C"/>
    <w:rsid w:val="00407893"/>
  </w:style>
  <w:style w:type="paragraph" w:customStyle="1" w:styleId="EC5E95A5442643DAA795CD6A231ED26A">
    <w:name w:val="EC5E95A5442643DAA795CD6A231ED26A"/>
    <w:rsid w:val="00407893"/>
  </w:style>
  <w:style w:type="paragraph" w:customStyle="1" w:styleId="7B03BB02E758476AB60688A7252C3617">
    <w:name w:val="7B03BB02E758476AB60688A7252C3617"/>
    <w:rsid w:val="00407893"/>
  </w:style>
  <w:style w:type="paragraph" w:customStyle="1" w:styleId="EADED91B8C92451EB1C893240AFD65F9">
    <w:name w:val="EADED91B8C92451EB1C893240AFD65F9"/>
    <w:rsid w:val="00407893"/>
  </w:style>
  <w:style w:type="paragraph" w:customStyle="1" w:styleId="662AFA49AB214C8EB63F6B97A5D93AD1">
    <w:name w:val="662AFA49AB214C8EB63F6B97A5D93AD1"/>
    <w:rsid w:val="00407893"/>
  </w:style>
  <w:style w:type="paragraph" w:customStyle="1" w:styleId="F017B71644AB425489FA2B9636F22608">
    <w:name w:val="F017B71644AB425489FA2B9636F22608"/>
    <w:rsid w:val="00407893"/>
  </w:style>
  <w:style w:type="paragraph" w:customStyle="1" w:styleId="9B6257FF10494408B8CA1B72A73D0701">
    <w:name w:val="9B6257FF10494408B8CA1B72A73D0701"/>
    <w:rsid w:val="00407893"/>
  </w:style>
  <w:style w:type="paragraph" w:customStyle="1" w:styleId="AC43F8FAA3464D8EA5864D79D5950016">
    <w:name w:val="AC43F8FAA3464D8EA5864D79D5950016"/>
    <w:rsid w:val="00407893"/>
  </w:style>
  <w:style w:type="paragraph" w:customStyle="1" w:styleId="3B955ADB18484972856450A56DA08E03">
    <w:name w:val="3B955ADB18484972856450A56DA08E03"/>
    <w:rsid w:val="00407893"/>
  </w:style>
  <w:style w:type="paragraph" w:customStyle="1" w:styleId="E06AB08D41024B34B3F90178E3CD9AB4">
    <w:name w:val="E06AB08D41024B34B3F90178E3CD9AB4"/>
    <w:rsid w:val="00407893"/>
  </w:style>
  <w:style w:type="paragraph" w:customStyle="1" w:styleId="BC0719A8765E4FE590C3B4CA070DCFFB">
    <w:name w:val="BC0719A8765E4FE590C3B4CA070DCFFB"/>
    <w:rsid w:val="00407893"/>
  </w:style>
  <w:style w:type="paragraph" w:customStyle="1" w:styleId="5CAA758BC97740D38FCDD4E75B6F0E48">
    <w:name w:val="5CAA758BC97740D38FCDD4E75B6F0E48"/>
    <w:rsid w:val="00407893"/>
  </w:style>
  <w:style w:type="character" w:styleId="PlaceholderText">
    <w:name w:val="Placeholder Text"/>
    <w:basedOn w:val="DefaultParagraphFont"/>
    <w:uiPriority w:val="99"/>
    <w:semiHidden/>
    <w:rsid w:val="00AC5AB1"/>
    <w:rPr>
      <w:color w:val="808080"/>
    </w:rPr>
  </w:style>
  <w:style w:type="paragraph" w:customStyle="1" w:styleId="3E641DDA0F7D47159D8A8E4BD41ED705">
    <w:name w:val="3E641DDA0F7D47159D8A8E4BD41ED705"/>
    <w:rsid w:val="00407893"/>
  </w:style>
  <w:style w:type="paragraph" w:customStyle="1" w:styleId="17C7E8900FB54EEAAF21AB93C129A8B7">
    <w:name w:val="17C7E8900FB54EEAAF21AB93C129A8B7"/>
    <w:rsid w:val="00407893"/>
  </w:style>
  <w:style w:type="paragraph" w:customStyle="1" w:styleId="7ADB58ED4601406EA1DB599EF054B559">
    <w:name w:val="7ADB58ED4601406EA1DB599EF054B559"/>
    <w:rsid w:val="00AC5AB1"/>
  </w:style>
  <w:style w:type="paragraph" w:customStyle="1" w:styleId="EBC7EF5F198C4527A786A4EB6A2AAB3F">
    <w:name w:val="EBC7EF5F198C4527A786A4EB6A2AAB3F"/>
    <w:rsid w:val="00AC5A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699B24-A03C-444A-BCEC-209F0E766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DSE.dot</Template>
  <TotalTime>2798</TotalTime>
  <Pages>14</Pages>
  <Words>3509</Words>
  <Characters>19302</Characters>
  <Application>Microsoft Office Word</Application>
  <DocSecurity>0</DocSecurity>
  <Lines>160</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EPT204 : Analyse du secteur conseil en systèmes et logiciels informatiques (6202A) en France</vt:lpstr>
      <vt:lpstr>EPT204 : Analyse du secteur conseil en systèmes et logiciels informatiques (6202A) en France </vt:lpstr>
    </vt:vector>
  </TitlesOfParts>
  <Company/>
  <LinksUpToDate>false</LinksUpToDate>
  <CharactersWithSpaces>22766</CharactersWithSpaces>
  <SharedDoc>false</SharedDoc>
  <HLinks>
    <vt:vector size="138" baseType="variant">
      <vt:variant>
        <vt:i4>1376305</vt:i4>
      </vt:variant>
      <vt:variant>
        <vt:i4>191</vt:i4>
      </vt:variant>
      <vt:variant>
        <vt:i4>0</vt:i4>
      </vt:variant>
      <vt:variant>
        <vt:i4>5</vt:i4>
      </vt:variant>
      <vt:variant>
        <vt:lpwstr/>
      </vt:variant>
      <vt:variant>
        <vt:lpwstr>_Toc390856757</vt:lpwstr>
      </vt:variant>
      <vt:variant>
        <vt:i4>1376305</vt:i4>
      </vt:variant>
      <vt:variant>
        <vt:i4>185</vt:i4>
      </vt:variant>
      <vt:variant>
        <vt:i4>0</vt:i4>
      </vt:variant>
      <vt:variant>
        <vt:i4>5</vt:i4>
      </vt:variant>
      <vt:variant>
        <vt:lpwstr/>
      </vt:variant>
      <vt:variant>
        <vt:lpwstr>_Toc390856756</vt:lpwstr>
      </vt:variant>
      <vt:variant>
        <vt:i4>1376305</vt:i4>
      </vt:variant>
      <vt:variant>
        <vt:i4>179</vt:i4>
      </vt:variant>
      <vt:variant>
        <vt:i4>0</vt:i4>
      </vt:variant>
      <vt:variant>
        <vt:i4>5</vt:i4>
      </vt:variant>
      <vt:variant>
        <vt:lpwstr/>
      </vt:variant>
      <vt:variant>
        <vt:lpwstr>_Toc390856755</vt:lpwstr>
      </vt:variant>
      <vt:variant>
        <vt:i4>1376305</vt:i4>
      </vt:variant>
      <vt:variant>
        <vt:i4>173</vt:i4>
      </vt:variant>
      <vt:variant>
        <vt:i4>0</vt:i4>
      </vt:variant>
      <vt:variant>
        <vt:i4>5</vt:i4>
      </vt:variant>
      <vt:variant>
        <vt:lpwstr/>
      </vt:variant>
      <vt:variant>
        <vt:lpwstr>_Toc390856754</vt:lpwstr>
      </vt:variant>
      <vt:variant>
        <vt:i4>1376305</vt:i4>
      </vt:variant>
      <vt:variant>
        <vt:i4>167</vt:i4>
      </vt:variant>
      <vt:variant>
        <vt:i4>0</vt:i4>
      </vt:variant>
      <vt:variant>
        <vt:i4>5</vt:i4>
      </vt:variant>
      <vt:variant>
        <vt:lpwstr/>
      </vt:variant>
      <vt:variant>
        <vt:lpwstr>_Toc390856753</vt:lpwstr>
      </vt:variant>
      <vt:variant>
        <vt:i4>1376305</vt:i4>
      </vt:variant>
      <vt:variant>
        <vt:i4>161</vt:i4>
      </vt:variant>
      <vt:variant>
        <vt:i4>0</vt:i4>
      </vt:variant>
      <vt:variant>
        <vt:i4>5</vt:i4>
      </vt:variant>
      <vt:variant>
        <vt:lpwstr/>
      </vt:variant>
      <vt:variant>
        <vt:lpwstr>_Toc390856752</vt:lpwstr>
      </vt:variant>
      <vt:variant>
        <vt:i4>1376305</vt:i4>
      </vt:variant>
      <vt:variant>
        <vt:i4>155</vt:i4>
      </vt:variant>
      <vt:variant>
        <vt:i4>0</vt:i4>
      </vt:variant>
      <vt:variant>
        <vt:i4>5</vt:i4>
      </vt:variant>
      <vt:variant>
        <vt:lpwstr/>
      </vt:variant>
      <vt:variant>
        <vt:lpwstr>_Toc390856751</vt:lpwstr>
      </vt:variant>
      <vt:variant>
        <vt:i4>1376305</vt:i4>
      </vt:variant>
      <vt:variant>
        <vt:i4>149</vt:i4>
      </vt:variant>
      <vt:variant>
        <vt:i4>0</vt:i4>
      </vt:variant>
      <vt:variant>
        <vt:i4>5</vt:i4>
      </vt:variant>
      <vt:variant>
        <vt:lpwstr/>
      </vt:variant>
      <vt:variant>
        <vt:lpwstr>_Toc390856750</vt:lpwstr>
      </vt:variant>
      <vt:variant>
        <vt:i4>1310769</vt:i4>
      </vt:variant>
      <vt:variant>
        <vt:i4>143</vt:i4>
      </vt:variant>
      <vt:variant>
        <vt:i4>0</vt:i4>
      </vt:variant>
      <vt:variant>
        <vt:i4>5</vt:i4>
      </vt:variant>
      <vt:variant>
        <vt:lpwstr/>
      </vt:variant>
      <vt:variant>
        <vt:lpwstr>_Toc390856749</vt:lpwstr>
      </vt:variant>
      <vt:variant>
        <vt:i4>1310769</vt:i4>
      </vt:variant>
      <vt:variant>
        <vt:i4>137</vt:i4>
      </vt:variant>
      <vt:variant>
        <vt:i4>0</vt:i4>
      </vt:variant>
      <vt:variant>
        <vt:i4>5</vt:i4>
      </vt:variant>
      <vt:variant>
        <vt:lpwstr/>
      </vt:variant>
      <vt:variant>
        <vt:lpwstr>_Toc390856748</vt:lpwstr>
      </vt:variant>
      <vt:variant>
        <vt:i4>1310769</vt:i4>
      </vt:variant>
      <vt:variant>
        <vt:i4>131</vt:i4>
      </vt:variant>
      <vt:variant>
        <vt:i4>0</vt:i4>
      </vt:variant>
      <vt:variant>
        <vt:i4>5</vt:i4>
      </vt:variant>
      <vt:variant>
        <vt:lpwstr/>
      </vt:variant>
      <vt:variant>
        <vt:lpwstr>_Toc390856747</vt:lpwstr>
      </vt:variant>
      <vt:variant>
        <vt:i4>1310769</vt:i4>
      </vt:variant>
      <vt:variant>
        <vt:i4>125</vt:i4>
      </vt:variant>
      <vt:variant>
        <vt:i4>0</vt:i4>
      </vt:variant>
      <vt:variant>
        <vt:i4>5</vt:i4>
      </vt:variant>
      <vt:variant>
        <vt:lpwstr/>
      </vt:variant>
      <vt:variant>
        <vt:lpwstr>_Toc390856746</vt:lpwstr>
      </vt:variant>
      <vt:variant>
        <vt:i4>1310769</vt:i4>
      </vt:variant>
      <vt:variant>
        <vt:i4>119</vt:i4>
      </vt:variant>
      <vt:variant>
        <vt:i4>0</vt:i4>
      </vt:variant>
      <vt:variant>
        <vt:i4>5</vt:i4>
      </vt:variant>
      <vt:variant>
        <vt:lpwstr/>
      </vt:variant>
      <vt:variant>
        <vt:lpwstr>_Toc390856745</vt:lpwstr>
      </vt:variant>
      <vt:variant>
        <vt:i4>1310769</vt:i4>
      </vt:variant>
      <vt:variant>
        <vt:i4>113</vt:i4>
      </vt:variant>
      <vt:variant>
        <vt:i4>0</vt:i4>
      </vt:variant>
      <vt:variant>
        <vt:i4>5</vt:i4>
      </vt:variant>
      <vt:variant>
        <vt:lpwstr/>
      </vt:variant>
      <vt:variant>
        <vt:lpwstr>_Toc390856744</vt:lpwstr>
      </vt:variant>
      <vt:variant>
        <vt:i4>1310769</vt:i4>
      </vt:variant>
      <vt:variant>
        <vt:i4>107</vt:i4>
      </vt:variant>
      <vt:variant>
        <vt:i4>0</vt:i4>
      </vt:variant>
      <vt:variant>
        <vt:i4>5</vt:i4>
      </vt:variant>
      <vt:variant>
        <vt:lpwstr/>
      </vt:variant>
      <vt:variant>
        <vt:lpwstr>_Toc390856743</vt:lpwstr>
      </vt:variant>
      <vt:variant>
        <vt:i4>1310769</vt:i4>
      </vt:variant>
      <vt:variant>
        <vt:i4>101</vt:i4>
      </vt:variant>
      <vt:variant>
        <vt:i4>0</vt:i4>
      </vt:variant>
      <vt:variant>
        <vt:i4>5</vt:i4>
      </vt:variant>
      <vt:variant>
        <vt:lpwstr/>
      </vt:variant>
      <vt:variant>
        <vt:lpwstr>_Toc390856742</vt:lpwstr>
      </vt:variant>
      <vt:variant>
        <vt:i4>1310769</vt:i4>
      </vt:variant>
      <vt:variant>
        <vt:i4>95</vt:i4>
      </vt:variant>
      <vt:variant>
        <vt:i4>0</vt:i4>
      </vt:variant>
      <vt:variant>
        <vt:i4>5</vt:i4>
      </vt:variant>
      <vt:variant>
        <vt:lpwstr/>
      </vt:variant>
      <vt:variant>
        <vt:lpwstr>_Toc390856741</vt:lpwstr>
      </vt:variant>
      <vt:variant>
        <vt:i4>1310769</vt:i4>
      </vt:variant>
      <vt:variant>
        <vt:i4>89</vt:i4>
      </vt:variant>
      <vt:variant>
        <vt:i4>0</vt:i4>
      </vt:variant>
      <vt:variant>
        <vt:i4>5</vt:i4>
      </vt:variant>
      <vt:variant>
        <vt:lpwstr/>
      </vt:variant>
      <vt:variant>
        <vt:lpwstr>_Toc390856740</vt:lpwstr>
      </vt:variant>
      <vt:variant>
        <vt:i4>1245233</vt:i4>
      </vt:variant>
      <vt:variant>
        <vt:i4>83</vt:i4>
      </vt:variant>
      <vt:variant>
        <vt:i4>0</vt:i4>
      </vt:variant>
      <vt:variant>
        <vt:i4>5</vt:i4>
      </vt:variant>
      <vt:variant>
        <vt:lpwstr/>
      </vt:variant>
      <vt:variant>
        <vt:lpwstr>_Toc390856739</vt:lpwstr>
      </vt:variant>
      <vt:variant>
        <vt:i4>1245233</vt:i4>
      </vt:variant>
      <vt:variant>
        <vt:i4>77</vt:i4>
      </vt:variant>
      <vt:variant>
        <vt:i4>0</vt:i4>
      </vt:variant>
      <vt:variant>
        <vt:i4>5</vt:i4>
      </vt:variant>
      <vt:variant>
        <vt:lpwstr/>
      </vt:variant>
      <vt:variant>
        <vt:lpwstr>_Toc390856738</vt:lpwstr>
      </vt:variant>
      <vt:variant>
        <vt:i4>1245233</vt:i4>
      </vt:variant>
      <vt:variant>
        <vt:i4>71</vt:i4>
      </vt:variant>
      <vt:variant>
        <vt:i4>0</vt:i4>
      </vt:variant>
      <vt:variant>
        <vt:i4>5</vt:i4>
      </vt:variant>
      <vt:variant>
        <vt:lpwstr/>
      </vt:variant>
      <vt:variant>
        <vt:lpwstr>_Toc390856737</vt:lpwstr>
      </vt:variant>
      <vt:variant>
        <vt:i4>7274601</vt:i4>
      </vt:variant>
      <vt:variant>
        <vt:i4>66</vt:i4>
      </vt:variant>
      <vt:variant>
        <vt:i4>0</vt:i4>
      </vt:variant>
      <vt:variant>
        <vt:i4>5</vt:i4>
      </vt:variant>
      <vt:variant>
        <vt:lpwstr>http://www.melafrit.com/education/CNAM/NFE109/</vt:lpwstr>
      </vt:variant>
      <vt:variant>
        <vt:lpwstr/>
      </vt:variant>
      <vt:variant>
        <vt:i4>7274601</vt:i4>
      </vt:variant>
      <vt:variant>
        <vt:i4>12</vt:i4>
      </vt:variant>
      <vt:variant>
        <vt:i4>0</vt:i4>
      </vt:variant>
      <vt:variant>
        <vt:i4>5</vt:i4>
      </vt:variant>
      <vt:variant>
        <vt:lpwstr>http://www.melafrit.com/education/CNAM/NFE109/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EPT204 : Analyse du secteur conseil en systèmes et logiciels informatiques (6202A) en France</dc:title>
  <dc:subject/>
  <dc:creator>Mohamed Amine EL AFRIT</dc:creator>
  <cp:keywords/>
  <cp:lastModifiedBy>Mohamed Amine EL AFRIT</cp:lastModifiedBy>
  <cp:revision>140</cp:revision>
  <cp:lastPrinted>2017-03-17T21:05:00Z</cp:lastPrinted>
  <dcterms:created xsi:type="dcterms:W3CDTF">2015-06-10T22:55:00Z</dcterms:created>
  <dcterms:modified xsi:type="dcterms:W3CDTF">2017-03-17T21:05:00Z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de Document">
    <vt:lpwstr>Fiche 2 </vt:lpwstr>
  </property>
  <property fmtid="{D5CDD505-2E9C-101B-9397-08002B2CF9AE}" pid="3" name="Titre">
    <vt:lpwstr>Analyse du secteur conseil en systèmes et logiciels informatiques (6202A)</vt:lpwstr>
  </property>
  <property fmtid="{D5CDD505-2E9C-101B-9397-08002B2CF9AE}" pid="4" name="Projet">
    <vt:lpwstr>Analyse de la structure </vt:lpwstr>
  </property>
  <property fmtid="{D5CDD505-2E9C-101B-9397-08002B2CF9AE}" pid="5" name="DateCreation">
    <vt:filetime>2016-03-26T22:00:00Z</vt:filetime>
  </property>
  <property fmtid="{D5CDD505-2E9C-101B-9397-08002B2CF9AE}" pid="6" name="Department">
    <vt:lpwstr>EFAB</vt:lpwstr>
  </property>
  <property fmtid="{D5CDD505-2E9C-101B-9397-08002B2CF9AE}" pid="7" name="Client">
    <vt:lpwstr>CNAM et Université Paris Diderot</vt:lpwstr>
  </property>
  <property fmtid="{D5CDD505-2E9C-101B-9397-08002B2CF9AE}" pid="8" name="Destination">
    <vt:lpwstr>EPT204</vt:lpwstr>
  </property>
</Properties>
</file>