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0B" w:rsidRDefault="0094740B" w:rsidP="00AF22F5">
      <w:pPr>
        <w:rPr>
          <w:rFonts w:eastAsiaTheme="majorEastAsia"/>
          <w:lang w:eastAsia="en-US"/>
        </w:rPr>
      </w:pPr>
    </w:p>
    <w:p w:rsidR="0071464C" w:rsidRDefault="0071464C" w:rsidP="00AF22F5">
      <w:pPr>
        <w:rPr>
          <w:lang w:eastAsia="en-US"/>
        </w:rPr>
      </w:pPr>
    </w:p>
    <w:p w:rsidR="00987FF5" w:rsidRDefault="00987FF5" w:rsidP="00AF22F5">
      <w:pPr>
        <w:rPr>
          <w:lang w:eastAsia="en-US"/>
        </w:rPr>
      </w:pPr>
    </w:p>
    <w:sdt>
      <w:sdtPr>
        <w:alias w:val="Title"/>
        <w:tag w:val=""/>
        <w:id w:val="1286467738"/>
        <w:placeholder>
          <w:docPart w:val="EBC7EF5F198C4527A786A4EB6A2AAB3F"/>
        </w:placeholder>
        <w:dataBinding w:prefixMappings="xmlns:ns0='http://purl.org/dc/elements/1.1/' xmlns:ns1='http://schemas.openxmlformats.org/package/2006/metadata/core-properties' " w:xpath="/ns1:coreProperties[1]/ns0:title[1]" w:storeItemID="{6C3C8BC8-F283-45AE-878A-BAB7291924A1}"/>
        <w:text/>
      </w:sdtPr>
      <w:sdtEndPr/>
      <w:sdtContent>
        <w:p w:rsidR="00FB5BAE" w:rsidRDefault="00543837" w:rsidP="003063A1">
          <w:pPr>
            <w:pStyle w:val="Entte1"/>
          </w:pPr>
          <w:r>
            <w:t>EPT204 : Analyse du secteur conseil en systèmes et logiciels informatiques (6202A) en France</w:t>
          </w:r>
        </w:p>
      </w:sdtContent>
    </w:sdt>
    <w:p w:rsidR="0071464C" w:rsidRDefault="0071464C" w:rsidP="00AF22F5">
      <w:pPr>
        <w:rPr>
          <w:lang w:eastAsia="en-US"/>
        </w:rPr>
      </w:pPr>
    </w:p>
    <w:p w:rsidR="00FD136A" w:rsidRPr="003063A1" w:rsidRDefault="00C83EF3" w:rsidP="003063A1">
      <w:pPr>
        <w:pStyle w:val="Entte1"/>
      </w:pPr>
      <w:r>
        <w:fldChar w:fldCharType="begin"/>
      </w:r>
      <w:r>
        <w:instrText xml:space="preserve"> DOCPROPERTY  Projet  \* MERGEFORMAT </w:instrText>
      </w:r>
      <w:r>
        <w:fldChar w:fldCharType="separate"/>
      </w:r>
      <w:r w:rsidR="00730949">
        <w:t xml:space="preserve">Les performances et synthèse </w:t>
      </w:r>
      <w:r>
        <w:fldChar w:fldCharType="end"/>
      </w:r>
    </w:p>
    <w:p w:rsidR="000324E5" w:rsidRDefault="000324E5" w:rsidP="00AF22F5"/>
    <w:p w:rsidR="003063A1" w:rsidRDefault="003063A1" w:rsidP="00AF22F5"/>
    <w:p w:rsidR="00492605" w:rsidRDefault="003063A1" w:rsidP="00ED5F06">
      <w:pPr>
        <w:ind w:left="2835"/>
        <w:jc w:val="left"/>
        <w:rPr>
          <w:rStyle w:val="IntenseEmphasis"/>
        </w:rPr>
      </w:pPr>
      <w:r w:rsidRPr="003063A1">
        <w:rPr>
          <w:rStyle w:val="IntenseEmphasis"/>
        </w:rPr>
        <w:t>Comment le secteur résiste-t-il</w:t>
      </w:r>
      <w:r w:rsidR="00492605">
        <w:rPr>
          <w:rStyle w:val="IntenseEmphasis"/>
        </w:rPr>
        <w:t> :</w:t>
      </w:r>
      <w:r w:rsidR="00ED5F06">
        <w:rPr>
          <w:rStyle w:val="IntenseEmphasis"/>
        </w:rPr>
        <w:t xml:space="preserve"> </w:t>
      </w:r>
    </w:p>
    <w:p w:rsidR="00492605" w:rsidRDefault="00492605" w:rsidP="00ED5F06">
      <w:pPr>
        <w:pStyle w:val="ListParagraph"/>
        <w:numPr>
          <w:ilvl w:val="0"/>
          <w:numId w:val="33"/>
        </w:numPr>
        <w:ind w:left="2835"/>
        <w:jc w:val="left"/>
        <w:rPr>
          <w:rStyle w:val="IntenseEmphasis"/>
        </w:rPr>
      </w:pPr>
      <w:r>
        <w:rPr>
          <w:rStyle w:val="IntenseEmphasis"/>
        </w:rPr>
        <w:t>A</w:t>
      </w:r>
      <w:r w:rsidR="003063A1" w:rsidRPr="003063A1">
        <w:rPr>
          <w:rStyle w:val="IntenseEmphasis"/>
        </w:rPr>
        <w:t>ux faibles barrières à l’entrée et</w:t>
      </w:r>
      <w:r w:rsidR="00ED5F06">
        <w:rPr>
          <w:rStyle w:val="IntenseEmphasis"/>
        </w:rPr>
        <w:t xml:space="preserve"> à</w:t>
      </w:r>
      <w:r w:rsidR="003063A1" w:rsidRPr="003063A1">
        <w:rPr>
          <w:rStyle w:val="IntenseEmphasis"/>
        </w:rPr>
        <w:t xml:space="preserve"> la forte concurrence</w:t>
      </w:r>
      <w:r w:rsidR="00ED5F06">
        <w:rPr>
          <w:rStyle w:val="IntenseEmphasis"/>
        </w:rPr>
        <w:t xml:space="preserve"> </w:t>
      </w:r>
    </w:p>
    <w:p w:rsidR="00492605" w:rsidRDefault="00492605" w:rsidP="005549E1">
      <w:pPr>
        <w:pStyle w:val="ListParagraph"/>
        <w:numPr>
          <w:ilvl w:val="0"/>
          <w:numId w:val="33"/>
        </w:numPr>
        <w:ind w:left="2835"/>
        <w:jc w:val="left"/>
        <w:rPr>
          <w:rStyle w:val="IntenseEmphasis"/>
        </w:rPr>
      </w:pPr>
      <w:r>
        <w:rPr>
          <w:rStyle w:val="IntenseEmphasis"/>
        </w:rPr>
        <w:t xml:space="preserve">A la pression des clients qui veulent </w:t>
      </w:r>
      <w:r w:rsidR="005549E1">
        <w:rPr>
          <w:rStyle w:val="IntenseEmphasis"/>
        </w:rPr>
        <w:t xml:space="preserve">optimiser leurs coûts informatiques </w:t>
      </w:r>
    </w:p>
    <w:p w:rsidR="003063A1" w:rsidRPr="003063A1" w:rsidRDefault="00492605" w:rsidP="00ED5F06">
      <w:pPr>
        <w:pStyle w:val="ListParagraph"/>
        <w:numPr>
          <w:ilvl w:val="0"/>
          <w:numId w:val="33"/>
        </w:numPr>
        <w:ind w:left="2835"/>
        <w:jc w:val="left"/>
        <w:rPr>
          <w:rStyle w:val="IntenseEmphasis"/>
        </w:rPr>
      </w:pPr>
      <w:r>
        <w:rPr>
          <w:rStyle w:val="IntenseEmphasis"/>
        </w:rPr>
        <w:t>A la pression des fournisseurs (consultants) qui veulent gagner plus</w:t>
      </w:r>
      <w:r w:rsidR="00ED5F06">
        <w:rPr>
          <w:rStyle w:val="IntenseEmphasis"/>
        </w:rPr>
        <w:t xml:space="preserve"> et qui n’hésitent pas à partir </w:t>
      </w:r>
    </w:p>
    <w:p w:rsidR="003063A1" w:rsidRDefault="003063A1" w:rsidP="00AF22F5"/>
    <w:p w:rsidR="003063A1" w:rsidRPr="004D5BCB" w:rsidRDefault="003063A1" w:rsidP="00AF22F5"/>
    <w:p w:rsidR="00A04D49" w:rsidRPr="00054DCB" w:rsidRDefault="000324E5" w:rsidP="00434B76">
      <w:pPr>
        <w:pStyle w:val="Heading9"/>
        <w:jc w:val="center"/>
        <w:rPr>
          <w:sz w:val="18"/>
          <w:szCs w:val="22"/>
        </w:rPr>
      </w:pPr>
      <w:r w:rsidRPr="00054DCB">
        <w:rPr>
          <w:sz w:val="18"/>
          <w:szCs w:val="22"/>
        </w:rPr>
        <w:t xml:space="preserve">Réalisé par : </w:t>
      </w:r>
      <w:r w:rsidR="00C83EF3">
        <w:fldChar w:fldCharType="begin"/>
      </w:r>
      <w:r w:rsidR="00C83EF3">
        <w:instrText xml:space="preserve"> AUTHOR   \* MERGEFORMAT </w:instrText>
      </w:r>
      <w:r w:rsidR="00C83EF3">
        <w:fldChar w:fldCharType="separate"/>
      </w:r>
      <w:r w:rsidR="00E2533D" w:rsidRPr="00054DCB">
        <w:rPr>
          <w:noProof/>
          <w:sz w:val="18"/>
          <w:szCs w:val="22"/>
        </w:rPr>
        <w:t>Mohamed Amine EL AFRIT</w:t>
      </w:r>
      <w:r w:rsidR="00C83EF3">
        <w:rPr>
          <w:noProof/>
          <w:sz w:val="18"/>
          <w:szCs w:val="22"/>
        </w:rPr>
        <w:fldChar w:fldCharType="end"/>
      </w:r>
      <w:r w:rsidR="00DF2E84" w:rsidRPr="00054DCB">
        <w:rPr>
          <w:sz w:val="18"/>
          <w:szCs w:val="22"/>
        </w:rPr>
        <w:t xml:space="preserve"> </w:t>
      </w:r>
    </w:p>
    <w:p w:rsidR="00CF1510" w:rsidRPr="00054DCB" w:rsidRDefault="00CF1510" w:rsidP="001967D1">
      <w:pPr>
        <w:pStyle w:val="Heading9"/>
        <w:jc w:val="center"/>
        <w:rPr>
          <w:sz w:val="18"/>
          <w:szCs w:val="22"/>
        </w:rPr>
      </w:pPr>
    </w:p>
    <w:p w:rsidR="001967D1" w:rsidRPr="00054DCB" w:rsidRDefault="00B35212" w:rsidP="001967D1">
      <w:pPr>
        <w:pStyle w:val="Heading9"/>
        <w:jc w:val="center"/>
        <w:rPr>
          <w:sz w:val="18"/>
          <w:szCs w:val="22"/>
        </w:rPr>
      </w:pPr>
      <w:r w:rsidRPr="00B35212">
        <w:rPr>
          <w:sz w:val="18"/>
          <w:szCs w:val="22"/>
        </w:rPr>
        <w:t>Encadré par : Professeur Philippe MOATI</w:t>
      </w:r>
      <w:r w:rsidR="00154899" w:rsidRPr="00054DCB">
        <w:rPr>
          <w:sz w:val="18"/>
          <w:szCs w:val="22"/>
        </w:rPr>
        <w:t xml:space="preserve"> </w:t>
      </w:r>
    </w:p>
    <w:p w:rsidR="00A04D49" w:rsidRPr="00054DCB" w:rsidRDefault="00A04D49" w:rsidP="00A04D49">
      <w:pPr>
        <w:rPr>
          <w:sz w:val="24"/>
          <w:szCs w:val="22"/>
        </w:rPr>
      </w:pPr>
    </w:p>
    <w:p w:rsidR="005961A5" w:rsidRPr="00CF1510" w:rsidRDefault="00C83EF3" w:rsidP="00B468AB">
      <w:pPr>
        <w:jc w:val="center"/>
      </w:pPr>
      <w:hyperlink r:id="rId9" w:history="1">
        <w:r w:rsidR="00B35212" w:rsidRPr="006E00B6">
          <w:rPr>
            <w:rStyle w:val="Hyperlink"/>
          </w:rPr>
          <w:t>www.mohamedelafrit.com/ept204</w:t>
        </w:r>
      </w:hyperlink>
    </w:p>
    <w:p w:rsidR="003A6D72" w:rsidRPr="00063FDA" w:rsidRDefault="00B35212" w:rsidP="009E0D56">
      <w:pPr>
        <w:jc w:val="center"/>
      </w:pPr>
      <w:r>
        <w:t>Juin</w:t>
      </w:r>
      <w:r w:rsidR="00B468AB" w:rsidRPr="00063FDA">
        <w:t xml:space="preserve"> 201</w:t>
      </w:r>
      <w:r w:rsidR="00A04D49" w:rsidRPr="00063FDA">
        <w:t>6</w:t>
      </w:r>
    </w:p>
    <w:p w:rsidR="00F17615" w:rsidRPr="00063FDA" w:rsidRDefault="00F17615" w:rsidP="009E0D56">
      <w:pPr>
        <w:jc w:val="center"/>
      </w:pPr>
    </w:p>
    <w:p w:rsidR="00063FDA" w:rsidRPr="00F21015" w:rsidRDefault="00063FDA" w:rsidP="00063FDA">
      <w:pPr>
        <w:pStyle w:val="Titre1Bis"/>
      </w:pPr>
      <w:bookmarkStart w:id="0" w:name="_Toc454836319"/>
      <w:r>
        <w:lastRenderedPageBreak/>
        <w:t>Références</w:t>
      </w:r>
      <w:bookmarkEnd w:id="0"/>
    </w:p>
    <w:p w:rsidR="00E537EF" w:rsidRPr="00F21015" w:rsidRDefault="00E537EF" w:rsidP="00063FDA">
      <w:pPr>
        <w:pStyle w:val="Heading2"/>
        <w:numPr>
          <w:ilvl w:val="0"/>
          <w:numId w:val="0"/>
        </w:numPr>
        <w:ind w:left="578"/>
      </w:pPr>
      <w:bookmarkStart w:id="1" w:name="_Toc454836320"/>
      <w:r w:rsidRPr="00F21015">
        <w:t>Objet</w:t>
      </w:r>
      <w:r>
        <w:t xml:space="preserve"> du document</w:t>
      </w:r>
      <w:bookmarkEnd w:id="1"/>
      <w:r>
        <w:t xml:space="preserve"> </w:t>
      </w:r>
    </w:p>
    <w:p w:rsidR="00E537EF" w:rsidRDefault="00B35212" w:rsidP="00F17615">
      <w:r>
        <w:t>C</w:t>
      </w:r>
      <w:r w:rsidR="00D354CC">
        <w:t>e document</w:t>
      </w:r>
      <w:r w:rsidR="00F17615">
        <w:t xml:space="preserve"> est </w:t>
      </w:r>
      <w:r>
        <w:t>une synthèse de l</w:t>
      </w:r>
      <w:r w:rsidR="00F17615">
        <w:t xml:space="preserve">’analyse </w:t>
      </w:r>
      <w:r>
        <w:t xml:space="preserve">du </w:t>
      </w:r>
      <w:r w:rsidR="00F17615">
        <w:t xml:space="preserve">secteur </w:t>
      </w:r>
      <w:r w:rsidR="005A661C">
        <w:t xml:space="preserve">de </w:t>
      </w:r>
      <w:r w:rsidR="00F17615">
        <w:t>conseil en systèmes et l</w:t>
      </w:r>
      <w:bookmarkStart w:id="2" w:name="_GoBack"/>
      <w:bookmarkEnd w:id="2"/>
      <w:r w:rsidR="00F17615">
        <w:t xml:space="preserve">ogiciels informatiques en France (Code NAF 6202A). </w:t>
      </w:r>
    </w:p>
    <w:p w:rsidR="00E537EF" w:rsidRDefault="00E537EF" w:rsidP="00AF22F5"/>
    <w:p w:rsidR="00E537EF" w:rsidRDefault="007E2E68" w:rsidP="00063FDA">
      <w:pPr>
        <w:pStyle w:val="Heading2"/>
        <w:numPr>
          <w:ilvl w:val="0"/>
          <w:numId w:val="0"/>
        </w:numPr>
        <w:ind w:left="578"/>
      </w:pPr>
      <w:bookmarkStart w:id="3" w:name="_Toc454836321"/>
      <w:r>
        <w:t>Donnée</w:t>
      </w:r>
      <w:r w:rsidR="00AA09F2">
        <w:t>s</w:t>
      </w:r>
      <w:r>
        <w:t xml:space="preserve"> </w:t>
      </w:r>
      <w:r w:rsidR="00253E71">
        <w:t>analys</w:t>
      </w:r>
      <w:r>
        <w:t>ées</w:t>
      </w:r>
      <w:bookmarkEnd w:id="3"/>
      <w:r>
        <w:t xml:space="preserve"> </w:t>
      </w:r>
    </w:p>
    <w:p w:rsidR="009E6B17" w:rsidRDefault="00A04D49" w:rsidP="009B6199">
      <w:r>
        <w:t>La base de données utilisée pour réaliser cette étude est constitu</w:t>
      </w:r>
      <w:r w:rsidR="009E6B17">
        <w:t>ée à partir de plusieurs sources</w:t>
      </w:r>
      <w:r w:rsidR="007E2E68">
        <w:t xml:space="preserve"> comme </w:t>
      </w:r>
      <w:r w:rsidR="009B6199">
        <w:t>l’INSEE, Xerfi, Diane, Business Source Complete</w:t>
      </w:r>
      <w:r w:rsidR="007E2E68">
        <w:t>, AP Management, les r</w:t>
      </w:r>
      <w:r w:rsidR="009E6B17">
        <w:t xml:space="preserve">apports de gestion </w:t>
      </w:r>
      <w:r w:rsidR="007E2E68">
        <w:t xml:space="preserve">de certains groupes, </w:t>
      </w:r>
      <w:r w:rsidR="005A661C">
        <w:t>et des cabinets d’études spécialisées dans les technologies de l’information comme PAC et Gartner</w:t>
      </w:r>
      <w:r w:rsidR="007E2E68">
        <w:t xml:space="preserve">. </w:t>
      </w:r>
    </w:p>
    <w:p w:rsidR="00E77AC5" w:rsidRDefault="00AB3DC3" w:rsidP="00AF22F5">
      <w:r>
        <w:t xml:space="preserve">Cette base de donnée contient des informations de 150 colonnes sur près de 20 000 entreprises du secteur conseil en systèmes et logiciels informatiques en France. </w:t>
      </w:r>
    </w:p>
    <w:p w:rsidR="009538FE" w:rsidRDefault="00054DCB" w:rsidP="00543837">
      <w:r>
        <w:t xml:space="preserve">Nous nous sommes basé également sur d’autres sources de veilles citées à la fin de ce document. </w:t>
      </w:r>
    </w:p>
    <w:p w:rsidR="00543837" w:rsidRDefault="00543837" w:rsidP="00543837"/>
    <w:p w:rsidR="00CA5373" w:rsidRDefault="00CA5373" w:rsidP="006C062A">
      <w:pPr>
        <w:pStyle w:val="Heading2"/>
        <w:numPr>
          <w:ilvl w:val="0"/>
          <w:numId w:val="0"/>
        </w:numPr>
        <w:ind w:left="578"/>
      </w:pPr>
      <w:bookmarkStart w:id="4" w:name="_Toc454836322"/>
      <w:r>
        <w:t>Bibliographie</w:t>
      </w:r>
      <w:r w:rsidR="009458A7">
        <w:t xml:space="preserve"> et </w:t>
      </w:r>
      <w:r w:rsidR="006C062A">
        <w:t>sources</w:t>
      </w:r>
      <w:r w:rsidR="009458A7">
        <w:t xml:space="preserve"> de veille stratégique</w:t>
      </w:r>
      <w:bookmarkEnd w:id="4"/>
      <w:r>
        <w:t xml:space="preserve"> </w:t>
      </w:r>
    </w:p>
    <w:p w:rsidR="00CA5373" w:rsidRDefault="007E2E68" w:rsidP="00347A3B">
      <w:r>
        <w:t xml:space="preserve">Ce document, </w:t>
      </w:r>
      <w:r w:rsidR="00905CA6">
        <w:t xml:space="preserve">les données utilisées et </w:t>
      </w:r>
      <w:r>
        <w:t>l</w:t>
      </w:r>
      <w:r w:rsidR="00CA5373">
        <w:t>a bibliographie détaillée</w:t>
      </w:r>
      <w:r w:rsidR="00347A3B">
        <w:t xml:space="preserve"> </w:t>
      </w:r>
      <w:r w:rsidR="00905CA6">
        <w:t xml:space="preserve">avec les sources de veille stratégique pour ce secteur </w:t>
      </w:r>
      <w:r w:rsidR="00347A3B">
        <w:t>sont</w:t>
      </w:r>
      <w:r w:rsidR="00CA5373">
        <w:t xml:space="preserve"> à l’adresse suivante : </w:t>
      </w:r>
      <w:hyperlink r:id="rId10" w:history="1">
        <w:r w:rsidR="00543837" w:rsidRPr="006E00B6">
          <w:rPr>
            <w:rStyle w:val="Hyperlink"/>
          </w:rPr>
          <w:t>http://www.mohamedelafrit.com/ept204</w:t>
        </w:r>
      </w:hyperlink>
      <w:r w:rsidR="00CA5373">
        <w:t xml:space="preserve"> </w:t>
      </w:r>
    </w:p>
    <w:p w:rsidR="00CA5373" w:rsidRDefault="00CA5373" w:rsidP="00AF22F5"/>
    <w:p w:rsidR="00E72D29" w:rsidRPr="00F21015" w:rsidRDefault="00EC346F" w:rsidP="00AF22F5">
      <w:pPr>
        <w:pStyle w:val="Titre1Bis"/>
      </w:pPr>
      <w:bookmarkStart w:id="5" w:name="_Toc454836323"/>
      <w:r w:rsidRPr="00F21015">
        <w:lastRenderedPageBreak/>
        <w:t>S</w:t>
      </w:r>
      <w:r w:rsidR="0075241D" w:rsidRPr="00F21015">
        <w:t>ommaire</w:t>
      </w:r>
      <w:bookmarkEnd w:id="5"/>
    </w:p>
    <w:p w:rsidR="001B7AB9" w:rsidRDefault="00567BB5">
      <w:pPr>
        <w:pStyle w:val="TOC1"/>
        <w:rPr>
          <w:rFonts w:asciiTheme="minorHAnsi" w:eastAsiaTheme="minorEastAsia" w:hAnsiTheme="minorHAnsi" w:cstheme="minorBidi"/>
          <w:noProof/>
          <w:szCs w:val="22"/>
        </w:rPr>
      </w:pPr>
      <w:r w:rsidRPr="00D22E0C">
        <w:rPr>
          <w:sz w:val="6"/>
          <w:szCs w:val="12"/>
        </w:rPr>
        <w:fldChar w:fldCharType="begin"/>
      </w:r>
      <w:r w:rsidR="00EC346F" w:rsidRPr="00D22E0C">
        <w:rPr>
          <w:sz w:val="6"/>
          <w:szCs w:val="12"/>
        </w:rPr>
        <w:instrText xml:space="preserve"> TOC \o "1-4" \h \z \u </w:instrText>
      </w:r>
      <w:r w:rsidRPr="00D22E0C">
        <w:rPr>
          <w:sz w:val="6"/>
          <w:szCs w:val="12"/>
        </w:rPr>
        <w:fldChar w:fldCharType="separate"/>
      </w:r>
      <w:hyperlink w:anchor="_Toc454836319" w:history="1">
        <w:r w:rsidR="001B7AB9" w:rsidRPr="003E732F">
          <w:rPr>
            <w:rStyle w:val="Hyperlink"/>
            <w:noProof/>
          </w:rPr>
          <w:t>Références</w:t>
        </w:r>
        <w:r w:rsidR="001B7AB9">
          <w:rPr>
            <w:noProof/>
            <w:webHidden/>
          </w:rPr>
          <w:tab/>
        </w:r>
        <w:r w:rsidR="001B7AB9">
          <w:rPr>
            <w:noProof/>
            <w:webHidden/>
          </w:rPr>
          <w:fldChar w:fldCharType="begin"/>
        </w:r>
        <w:r w:rsidR="001B7AB9">
          <w:rPr>
            <w:noProof/>
            <w:webHidden/>
          </w:rPr>
          <w:instrText xml:space="preserve"> PAGEREF _Toc454836319 \h </w:instrText>
        </w:r>
        <w:r w:rsidR="001B7AB9">
          <w:rPr>
            <w:noProof/>
            <w:webHidden/>
          </w:rPr>
        </w:r>
        <w:r w:rsidR="001B7AB9">
          <w:rPr>
            <w:noProof/>
            <w:webHidden/>
          </w:rPr>
          <w:fldChar w:fldCharType="separate"/>
        </w:r>
        <w:r w:rsidR="00BE2688">
          <w:rPr>
            <w:noProof/>
            <w:webHidden/>
          </w:rPr>
          <w:t>2</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0" w:history="1">
        <w:r w:rsidR="001B7AB9" w:rsidRPr="003E732F">
          <w:rPr>
            <w:rStyle w:val="Hyperlink"/>
            <w:noProof/>
          </w:rPr>
          <w:t>Objet du document</w:t>
        </w:r>
        <w:r w:rsidR="001B7AB9">
          <w:rPr>
            <w:noProof/>
            <w:webHidden/>
          </w:rPr>
          <w:tab/>
        </w:r>
        <w:r w:rsidR="001B7AB9">
          <w:rPr>
            <w:noProof/>
            <w:webHidden/>
          </w:rPr>
          <w:fldChar w:fldCharType="begin"/>
        </w:r>
        <w:r w:rsidR="001B7AB9">
          <w:rPr>
            <w:noProof/>
            <w:webHidden/>
          </w:rPr>
          <w:instrText xml:space="preserve"> PAGEREF _Toc454836320 \h </w:instrText>
        </w:r>
        <w:r w:rsidR="001B7AB9">
          <w:rPr>
            <w:noProof/>
            <w:webHidden/>
          </w:rPr>
        </w:r>
        <w:r w:rsidR="001B7AB9">
          <w:rPr>
            <w:noProof/>
            <w:webHidden/>
          </w:rPr>
          <w:fldChar w:fldCharType="separate"/>
        </w:r>
        <w:r w:rsidR="00BE2688">
          <w:rPr>
            <w:noProof/>
            <w:webHidden/>
          </w:rPr>
          <w:t>2</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1" w:history="1">
        <w:r w:rsidR="001B7AB9" w:rsidRPr="003E732F">
          <w:rPr>
            <w:rStyle w:val="Hyperlink"/>
            <w:noProof/>
          </w:rPr>
          <w:t>Données analysées</w:t>
        </w:r>
        <w:r w:rsidR="001B7AB9">
          <w:rPr>
            <w:noProof/>
            <w:webHidden/>
          </w:rPr>
          <w:tab/>
        </w:r>
        <w:r w:rsidR="001B7AB9">
          <w:rPr>
            <w:noProof/>
            <w:webHidden/>
          </w:rPr>
          <w:fldChar w:fldCharType="begin"/>
        </w:r>
        <w:r w:rsidR="001B7AB9">
          <w:rPr>
            <w:noProof/>
            <w:webHidden/>
          </w:rPr>
          <w:instrText xml:space="preserve"> PAGEREF _Toc454836321 \h </w:instrText>
        </w:r>
        <w:r w:rsidR="001B7AB9">
          <w:rPr>
            <w:noProof/>
            <w:webHidden/>
          </w:rPr>
        </w:r>
        <w:r w:rsidR="001B7AB9">
          <w:rPr>
            <w:noProof/>
            <w:webHidden/>
          </w:rPr>
          <w:fldChar w:fldCharType="separate"/>
        </w:r>
        <w:r w:rsidR="00BE2688">
          <w:rPr>
            <w:noProof/>
            <w:webHidden/>
          </w:rPr>
          <w:t>2</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2" w:history="1">
        <w:r w:rsidR="001B7AB9" w:rsidRPr="003E732F">
          <w:rPr>
            <w:rStyle w:val="Hyperlink"/>
            <w:noProof/>
          </w:rPr>
          <w:t>Bibliographie et sources de veille stratégique</w:t>
        </w:r>
        <w:r w:rsidR="001B7AB9">
          <w:rPr>
            <w:noProof/>
            <w:webHidden/>
          </w:rPr>
          <w:tab/>
        </w:r>
        <w:r w:rsidR="001B7AB9">
          <w:rPr>
            <w:noProof/>
            <w:webHidden/>
          </w:rPr>
          <w:fldChar w:fldCharType="begin"/>
        </w:r>
        <w:r w:rsidR="001B7AB9">
          <w:rPr>
            <w:noProof/>
            <w:webHidden/>
          </w:rPr>
          <w:instrText xml:space="preserve"> PAGEREF _Toc454836322 \h </w:instrText>
        </w:r>
        <w:r w:rsidR="001B7AB9">
          <w:rPr>
            <w:noProof/>
            <w:webHidden/>
          </w:rPr>
        </w:r>
        <w:r w:rsidR="001B7AB9">
          <w:rPr>
            <w:noProof/>
            <w:webHidden/>
          </w:rPr>
          <w:fldChar w:fldCharType="separate"/>
        </w:r>
        <w:r w:rsidR="00BE2688">
          <w:rPr>
            <w:noProof/>
            <w:webHidden/>
          </w:rPr>
          <w:t>2</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23" w:history="1">
        <w:r w:rsidR="001B7AB9" w:rsidRPr="003E732F">
          <w:rPr>
            <w:rStyle w:val="Hyperlink"/>
            <w:noProof/>
          </w:rPr>
          <w:t>Sommaire</w:t>
        </w:r>
        <w:r w:rsidR="001B7AB9">
          <w:rPr>
            <w:noProof/>
            <w:webHidden/>
          </w:rPr>
          <w:tab/>
        </w:r>
        <w:r w:rsidR="001B7AB9">
          <w:rPr>
            <w:noProof/>
            <w:webHidden/>
          </w:rPr>
          <w:fldChar w:fldCharType="begin"/>
        </w:r>
        <w:r w:rsidR="001B7AB9">
          <w:rPr>
            <w:noProof/>
            <w:webHidden/>
          </w:rPr>
          <w:instrText xml:space="preserve"> PAGEREF _Toc454836323 \h </w:instrText>
        </w:r>
        <w:r w:rsidR="001B7AB9">
          <w:rPr>
            <w:noProof/>
            <w:webHidden/>
          </w:rPr>
        </w:r>
        <w:r w:rsidR="001B7AB9">
          <w:rPr>
            <w:noProof/>
            <w:webHidden/>
          </w:rPr>
          <w:fldChar w:fldCharType="separate"/>
        </w:r>
        <w:r w:rsidR="00BE2688">
          <w:rPr>
            <w:noProof/>
            <w:webHidden/>
          </w:rPr>
          <w:t>3</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24" w:history="1">
        <w:r w:rsidR="001B7AB9" w:rsidRPr="003E732F">
          <w:rPr>
            <w:rStyle w:val="Hyperlink"/>
            <w:noProof/>
          </w:rPr>
          <w:t>Résumé exécutif</w:t>
        </w:r>
        <w:r w:rsidR="001B7AB9">
          <w:rPr>
            <w:noProof/>
            <w:webHidden/>
          </w:rPr>
          <w:tab/>
        </w:r>
        <w:r w:rsidR="001B7AB9">
          <w:rPr>
            <w:noProof/>
            <w:webHidden/>
          </w:rPr>
          <w:fldChar w:fldCharType="begin"/>
        </w:r>
        <w:r w:rsidR="001B7AB9">
          <w:rPr>
            <w:noProof/>
            <w:webHidden/>
          </w:rPr>
          <w:instrText xml:space="preserve"> PAGEREF _Toc454836324 \h </w:instrText>
        </w:r>
        <w:r w:rsidR="001B7AB9">
          <w:rPr>
            <w:noProof/>
            <w:webHidden/>
          </w:rPr>
        </w:r>
        <w:r w:rsidR="001B7AB9">
          <w:rPr>
            <w:noProof/>
            <w:webHidden/>
          </w:rPr>
          <w:fldChar w:fldCharType="separate"/>
        </w:r>
        <w:r w:rsidR="00BE2688">
          <w:rPr>
            <w:noProof/>
            <w:webHidden/>
          </w:rPr>
          <w:t>5</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5" w:history="1">
        <w:r w:rsidR="001B7AB9" w:rsidRPr="003E732F">
          <w:rPr>
            <w:rStyle w:val="Hyperlink"/>
            <w:noProof/>
          </w:rPr>
          <w:t>Cadre de l’analyse</w:t>
        </w:r>
        <w:r w:rsidR="001B7AB9">
          <w:rPr>
            <w:noProof/>
            <w:webHidden/>
          </w:rPr>
          <w:tab/>
        </w:r>
        <w:r w:rsidR="001B7AB9">
          <w:rPr>
            <w:noProof/>
            <w:webHidden/>
          </w:rPr>
          <w:fldChar w:fldCharType="begin"/>
        </w:r>
        <w:r w:rsidR="001B7AB9">
          <w:rPr>
            <w:noProof/>
            <w:webHidden/>
          </w:rPr>
          <w:instrText xml:space="preserve"> PAGEREF _Toc454836325 \h </w:instrText>
        </w:r>
        <w:r w:rsidR="001B7AB9">
          <w:rPr>
            <w:noProof/>
            <w:webHidden/>
          </w:rPr>
        </w:r>
        <w:r w:rsidR="001B7AB9">
          <w:rPr>
            <w:noProof/>
            <w:webHidden/>
          </w:rPr>
          <w:fldChar w:fldCharType="separate"/>
        </w:r>
        <w:r w:rsidR="00BE2688">
          <w:rPr>
            <w:noProof/>
            <w:webHidden/>
          </w:rPr>
          <w:t>5</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6" w:history="1">
        <w:r w:rsidR="001B7AB9" w:rsidRPr="003E732F">
          <w:rPr>
            <w:rStyle w:val="Hyperlink"/>
            <w:noProof/>
          </w:rPr>
          <w:t>La demande</w:t>
        </w:r>
        <w:r w:rsidR="001B7AB9">
          <w:rPr>
            <w:noProof/>
            <w:webHidden/>
          </w:rPr>
          <w:tab/>
        </w:r>
        <w:r w:rsidR="001B7AB9">
          <w:rPr>
            <w:noProof/>
            <w:webHidden/>
          </w:rPr>
          <w:fldChar w:fldCharType="begin"/>
        </w:r>
        <w:r w:rsidR="001B7AB9">
          <w:rPr>
            <w:noProof/>
            <w:webHidden/>
          </w:rPr>
          <w:instrText xml:space="preserve"> PAGEREF _Toc454836326 \h </w:instrText>
        </w:r>
        <w:r w:rsidR="001B7AB9">
          <w:rPr>
            <w:noProof/>
            <w:webHidden/>
          </w:rPr>
        </w:r>
        <w:r w:rsidR="001B7AB9">
          <w:rPr>
            <w:noProof/>
            <w:webHidden/>
          </w:rPr>
          <w:fldChar w:fldCharType="separate"/>
        </w:r>
        <w:r w:rsidR="00BE2688">
          <w:rPr>
            <w:noProof/>
            <w:webHidden/>
          </w:rPr>
          <w:t>6</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7" w:history="1">
        <w:r w:rsidR="001B7AB9" w:rsidRPr="003E732F">
          <w:rPr>
            <w:rStyle w:val="Hyperlink"/>
            <w:noProof/>
          </w:rPr>
          <w:t>Les structures</w:t>
        </w:r>
        <w:r w:rsidR="001B7AB9">
          <w:rPr>
            <w:noProof/>
            <w:webHidden/>
          </w:rPr>
          <w:tab/>
        </w:r>
        <w:r w:rsidR="001B7AB9">
          <w:rPr>
            <w:noProof/>
            <w:webHidden/>
          </w:rPr>
          <w:fldChar w:fldCharType="begin"/>
        </w:r>
        <w:r w:rsidR="001B7AB9">
          <w:rPr>
            <w:noProof/>
            <w:webHidden/>
          </w:rPr>
          <w:instrText xml:space="preserve"> PAGEREF _Toc454836327 \h </w:instrText>
        </w:r>
        <w:r w:rsidR="001B7AB9">
          <w:rPr>
            <w:noProof/>
            <w:webHidden/>
          </w:rPr>
        </w:r>
        <w:r w:rsidR="001B7AB9">
          <w:rPr>
            <w:noProof/>
            <w:webHidden/>
          </w:rPr>
          <w:fldChar w:fldCharType="separate"/>
        </w:r>
        <w:r w:rsidR="00BE2688">
          <w:rPr>
            <w:noProof/>
            <w:webHidden/>
          </w:rPr>
          <w:t>6</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28" w:history="1">
        <w:r w:rsidR="001B7AB9" w:rsidRPr="003E732F">
          <w:rPr>
            <w:rStyle w:val="Hyperlink"/>
            <w:noProof/>
          </w:rPr>
          <w:t>La concurrence</w:t>
        </w:r>
        <w:r w:rsidR="001B7AB9">
          <w:rPr>
            <w:noProof/>
            <w:webHidden/>
          </w:rPr>
          <w:tab/>
        </w:r>
        <w:r w:rsidR="001B7AB9">
          <w:rPr>
            <w:noProof/>
            <w:webHidden/>
          </w:rPr>
          <w:fldChar w:fldCharType="begin"/>
        </w:r>
        <w:r w:rsidR="001B7AB9">
          <w:rPr>
            <w:noProof/>
            <w:webHidden/>
          </w:rPr>
          <w:instrText xml:space="preserve"> PAGEREF _Toc454836328 \h </w:instrText>
        </w:r>
        <w:r w:rsidR="001B7AB9">
          <w:rPr>
            <w:noProof/>
            <w:webHidden/>
          </w:rPr>
        </w:r>
        <w:r w:rsidR="001B7AB9">
          <w:rPr>
            <w:noProof/>
            <w:webHidden/>
          </w:rPr>
          <w:fldChar w:fldCharType="separate"/>
        </w:r>
        <w:r w:rsidR="00BE2688">
          <w:rPr>
            <w:noProof/>
            <w:webHidden/>
          </w:rPr>
          <w:t>7</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29" w:history="1">
        <w:r w:rsidR="001B7AB9" w:rsidRPr="003E732F">
          <w:rPr>
            <w:rStyle w:val="Hyperlink"/>
            <w:noProof/>
          </w:rPr>
          <w:t>1</w:t>
        </w:r>
        <w:r w:rsidR="001B7AB9">
          <w:rPr>
            <w:rFonts w:asciiTheme="minorHAnsi" w:eastAsiaTheme="minorEastAsia" w:hAnsiTheme="minorHAnsi" w:cstheme="minorBidi"/>
            <w:noProof/>
            <w:szCs w:val="22"/>
          </w:rPr>
          <w:tab/>
        </w:r>
        <w:r w:rsidR="001B7AB9" w:rsidRPr="003E732F">
          <w:rPr>
            <w:rStyle w:val="Hyperlink"/>
            <w:noProof/>
          </w:rPr>
          <w:t>Définition de l’activité</w:t>
        </w:r>
        <w:r w:rsidR="001B7AB9">
          <w:rPr>
            <w:noProof/>
            <w:webHidden/>
          </w:rPr>
          <w:tab/>
        </w:r>
        <w:r w:rsidR="001B7AB9">
          <w:rPr>
            <w:noProof/>
            <w:webHidden/>
          </w:rPr>
          <w:fldChar w:fldCharType="begin"/>
        </w:r>
        <w:r w:rsidR="001B7AB9">
          <w:rPr>
            <w:noProof/>
            <w:webHidden/>
          </w:rPr>
          <w:instrText xml:space="preserve"> PAGEREF _Toc454836329 \h </w:instrText>
        </w:r>
        <w:r w:rsidR="001B7AB9">
          <w:rPr>
            <w:noProof/>
            <w:webHidden/>
          </w:rPr>
        </w:r>
        <w:r w:rsidR="001B7AB9">
          <w:rPr>
            <w:noProof/>
            <w:webHidden/>
          </w:rPr>
          <w:fldChar w:fldCharType="separate"/>
        </w:r>
        <w:r w:rsidR="00BE2688">
          <w:rPr>
            <w:noProof/>
            <w:webHidden/>
          </w:rPr>
          <w:t>8</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30" w:history="1">
        <w:r w:rsidR="001B7AB9" w:rsidRPr="003E732F">
          <w:rPr>
            <w:rStyle w:val="Hyperlink"/>
            <w:noProof/>
          </w:rPr>
          <w:t>1.1</w:t>
        </w:r>
        <w:r w:rsidR="001B7AB9">
          <w:rPr>
            <w:rFonts w:asciiTheme="minorHAnsi" w:eastAsiaTheme="minorEastAsia" w:hAnsiTheme="minorHAnsi" w:cstheme="minorBidi"/>
            <w:noProof/>
            <w:szCs w:val="22"/>
          </w:rPr>
          <w:tab/>
        </w:r>
        <w:r w:rsidR="001B7AB9" w:rsidRPr="003E732F">
          <w:rPr>
            <w:rStyle w:val="Hyperlink"/>
            <w:noProof/>
          </w:rPr>
          <w:t>Définition du secteur</w:t>
        </w:r>
        <w:r w:rsidR="001B7AB9">
          <w:rPr>
            <w:noProof/>
            <w:webHidden/>
          </w:rPr>
          <w:tab/>
        </w:r>
        <w:r w:rsidR="001B7AB9">
          <w:rPr>
            <w:noProof/>
            <w:webHidden/>
          </w:rPr>
          <w:fldChar w:fldCharType="begin"/>
        </w:r>
        <w:r w:rsidR="001B7AB9">
          <w:rPr>
            <w:noProof/>
            <w:webHidden/>
          </w:rPr>
          <w:instrText xml:space="preserve"> PAGEREF _Toc454836330 \h </w:instrText>
        </w:r>
        <w:r w:rsidR="001B7AB9">
          <w:rPr>
            <w:noProof/>
            <w:webHidden/>
          </w:rPr>
        </w:r>
        <w:r w:rsidR="001B7AB9">
          <w:rPr>
            <w:noProof/>
            <w:webHidden/>
          </w:rPr>
          <w:fldChar w:fldCharType="separate"/>
        </w:r>
        <w:r w:rsidR="00BE2688">
          <w:rPr>
            <w:noProof/>
            <w:webHidden/>
          </w:rPr>
          <w:t>8</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31" w:history="1">
        <w:r w:rsidR="001B7AB9" w:rsidRPr="003E732F">
          <w:rPr>
            <w:rStyle w:val="Hyperlink"/>
            <w:noProof/>
          </w:rPr>
          <w:t>1.2</w:t>
        </w:r>
        <w:r w:rsidR="001B7AB9">
          <w:rPr>
            <w:rFonts w:asciiTheme="minorHAnsi" w:eastAsiaTheme="minorEastAsia" w:hAnsiTheme="minorHAnsi" w:cstheme="minorBidi"/>
            <w:noProof/>
            <w:szCs w:val="22"/>
          </w:rPr>
          <w:tab/>
        </w:r>
        <w:r w:rsidR="001B7AB9" w:rsidRPr="003E732F">
          <w:rPr>
            <w:rStyle w:val="Hyperlink"/>
            <w:noProof/>
          </w:rPr>
          <w:t>Chiffres clés</w:t>
        </w:r>
        <w:r w:rsidR="001B7AB9">
          <w:rPr>
            <w:noProof/>
            <w:webHidden/>
          </w:rPr>
          <w:tab/>
        </w:r>
        <w:r w:rsidR="001B7AB9">
          <w:rPr>
            <w:noProof/>
            <w:webHidden/>
          </w:rPr>
          <w:fldChar w:fldCharType="begin"/>
        </w:r>
        <w:r w:rsidR="001B7AB9">
          <w:rPr>
            <w:noProof/>
            <w:webHidden/>
          </w:rPr>
          <w:instrText xml:space="preserve"> PAGEREF _Toc454836331 \h </w:instrText>
        </w:r>
        <w:r w:rsidR="001B7AB9">
          <w:rPr>
            <w:noProof/>
            <w:webHidden/>
          </w:rPr>
        </w:r>
        <w:r w:rsidR="001B7AB9">
          <w:rPr>
            <w:noProof/>
            <w:webHidden/>
          </w:rPr>
          <w:fldChar w:fldCharType="separate"/>
        </w:r>
        <w:r w:rsidR="00BE2688">
          <w:rPr>
            <w:noProof/>
            <w:webHidden/>
          </w:rPr>
          <w:t>9</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32" w:history="1">
        <w:r w:rsidR="001B7AB9" w:rsidRPr="003E732F">
          <w:rPr>
            <w:rStyle w:val="Hyperlink"/>
            <w:noProof/>
          </w:rPr>
          <w:t>2</w:t>
        </w:r>
        <w:r w:rsidR="001B7AB9">
          <w:rPr>
            <w:rFonts w:asciiTheme="minorHAnsi" w:eastAsiaTheme="minorEastAsia" w:hAnsiTheme="minorHAnsi" w:cstheme="minorBidi"/>
            <w:noProof/>
            <w:szCs w:val="22"/>
          </w:rPr>
          <w:tab/>
        </w:r>
        <w:r w:rsidR="001B7AB9" w:rsidRPr="003E732F">
          <w:rPr>
            <w:rStyle w:val="Hyperlink"/>
            <w:noProof/>
          </w:rPr>
          <w:t>Principaux acteurs de la profession</w:t>
        </w:r>
        <w:r w:rsidR="001B7AB9">
          <w:rPr>
            <w:noProof/>
            <w:webHidden/>
          </w:rPr>
          <w:tab/>
        </w:r>
        <w:r w:rsidR="001B7AB9">
          <w:rPr>
            <w:noProof/>
            <w:webHidden/>
          </w:rPr>
          <w:fldChar w:fldCharType="begin"/>
        </w:r>
        <w:r w:rsidR="001B7AB9">
          <w:rPr>
            <w:noProof/>
            <w:webHidden/>
          </w:rPr>
          <w:instrText xml:space="preserve"> PAGEREF _Toc454836332 \h </w:instrText>
        </w:r>
        <w:r w:rsidR="001B7AB9">
          <w:rPr>
            <w:noProof/>
            <w:webHidden/>
          </w:rPr>
        </w:r>
        <w:r w:rsidR="001B7AB9">
          <w:rPr>
            <w:noProof/>
            <w:webHidden/>
          </w:rPr>
          <w:fldChar w:fldCharType="separate"/>
        </w:r>
        <w:r w:rsidR="00BE2688">
          <w:rPr>
            <w:noProof/>
            <w:webHidden/>
          </w:rPr>
          <w:t>10</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33" w:history="1">
        <w:r w:rsidR="001B7AB9" w:rsidRPr="003E732F">
          <w:rPr>
            <w:rStyle w:val="Hyperlink"/>
            <w:noProof/>
          </w:rPr>
          <w:t>2.1</w:t>
        </w:r>
        <w:r w:rsidR="001B7AB9">
          <w:rPr>
            <w:rFonts w:asciiTheme="minorHAnsi" w:eastAsiaTheme="minorEastAsia" w:hAnsiTheme="minorHAnsi" w:cstheme="minorBidi"/>
            <w:noProof/>
            <w:szCs w:val="22"/>
          </w:rPr>
          <w:tab/>
        </w:r>
        <w:r w:rsidR="001B7AB9" w:rsidRPr="003E732F">
          <w:rPr>
            <w:rStyle w:val="Hyperlink"/>
            <w:noProof/>
          </w:rPr>
          <w:t>Les principales entreprises du secteur</w:t>
        </w:r>
        <w:r w:rsidR="001B7AB9">
          <w:rPr>
            <w:noProof/>
            <w:webHidden/>
          </w:rPr>
          <w:tab/>
        </w:r>
        <w:r w:rsidR="001B7AB9">
          <w:rPr>
            <w:noProof/>
            <w:webHidden/>
          </w:rPr>
          <w:fldChar w:fldCharType="begin"/>
        </w:r>
        <w:r w:rsidR="001B7AB9">
          <w:rPr>
            <w:noProof/>
            <w:webHidden/>
          </w:rPr>
          <w:instrText xml:space="preserve"> PAGEREF _Toc454836333 \h </w:instrText>
        </w:r>
        <w:r w:rsidR="001B7AB9">
          <w:rPr>
            <w:noProof/>
            <w:webHidden/>
          </w:rPr>
        </w:r>
        <w:r w:rsidR="001B7AB9">
          <w:rPr>
            <w:noProof/>
            <w:webHidden/>
          </w:rPr>
          <w:fldChar w:fldCharType="separate"/>
        </w:r>
        <w:r w:rsidR="00BE2688">
          <w:rPr>
            <w:noProof/>
            <w:webHidden/>
          </w:rPr>
          <w:t>10</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34" w:history="1">
        <w:r w:rsidR="001B7AB9" w:rsidRPr="003E732F">
          <w:rPr>
            <w:rStyle w:val="Hyperlink"/>
            <w:noProof/>
          </w:rPr>
          <w:t>2.2</w:t>
        </w:r>
        <w:r w:rsidR="001B7AB9">
          <w:rPr>
            <w:rFonts w:asciiTheme="minorHAnsi" w:eastAsiaTheme="minorEastAsia" w:hAnsiTheme="minorHAnsi" w:cstheme="minorBidi"/>
            <w:noProof/>
            <w:szCs w:val="22"/>
          </w:rPr>
          <w:tab/>
        </w:r>
        <w:r w:rsidR="001B7AB9" w:rsidRPr="003E732F">
          <w:rPr>
            <w:rStyle w:val="Hyperlink"/>
            <w:noProof/>
          </w:rPr>
          <w:t>Filière</w:t>
        </w:r>
        <w:r w:rsidR="001B7AB9">
          <w:rPr>
            <w:noProof/>
            <w:webHidden/>
          </w:rPr>
          <w:tab/>
        </w:r>
        <w:r w:rsidR="001B7AB9">
          <w:rPr>
            <w:noProof/>
            <w:webHidden/>
          </w:rPr>
          <w:fldChar w:fldCharType="begin"/>
        </w:r>
        <w:r w:rsidR="001B7AB9">
          <w:rPr>
            <w:noProof/>
            <w:webHidden/>
          </w:rPr>
          <w:instrText xml:space="preserve"> PAGEREF _Toc454836334 \h </w:instrText>
        </w:r>
        <w:r w:rsidR="001B7AB9">
          <w:rPr>
            <w:noProof/>
            <w:webHidden/>
          </w:rPr>
        </w:r>
        <w:r w:rsidR="001B7AB9">
          <w:rPr>
            <w:noProof/>
            <w:webHidden/>
          </w:rPr>
          <w:fldChar w:fldCharType="separate"/>
        </w:r>
        <w:r w:rsidR="00BE2688">
          <w:rPr>
            <w:noProof/>
            <w:webHidden/>
          </w:rPr>
          <w:t>11</w:t>
        </w:r>
        <w:r w:rsidR="001B7AB9">
          <w:rPr>
            <w:noProof/>
            <w:webHidden/>
          </w:rPr>
          <w:fldChar w:fldCharType="end"/>
        </w:r>
      </w:hyperlink>
    </w:p>
    <w:p w:rsidR="001B7AB9" w:rsidRDefault="00C83EF3">
      <w:pPr>
        <w:pStyle w:val="TOC3"/>
        <w:rPr>
          <w:rFonts w:asciiTheme="minorHAnsi" w:eastAsiaTheme="minorEastAsia" w:hAnsiTheme="minorHAnsi" w:cstheme="minorBidi"/>
          <w:noProof/>
          <w:szCs w:val="22"/>
        </w:rPr>
      </w:pPr>
      <w:hyperlink w:anchor="_Toc454836335" w:history="1">
        <w:r w:rsidR="001B7AB9" w:rsidRPr="003E732F">
          <w:rPr>
            <w:rStyle w:val="Hyperlink"/>
            <w:noProof/>
          </w:rPr>
          <w:t>2.2.1</w:t>
        </w:r>
        <w:r w:rsidR="001B7AB9">
          <w:rPr>
            <w:rFonts w:asciiTheme="minorHAnsi" w:eastAsiaTheme="minorEastAsia" w:hAnsiTheme="minorHAnsi" w:cstheme="minorBidi"/>
            <w:noProof/>
            <w:szCs w:val="22"/>
          </w:rPr>
          <w:tab/>
        </w:r>
        <w:r w:rsidR="001B7AB9" w:rsidRPr="003E732F">
          <w:rPr>
            <w:rStyle w:val="Hyperlink"/>
            <w:noProof/>
          </w:rPr>
          <w:t>Secteurs amont</w:t>
        </w:r>
        <w:r w:rsidR="001B7AB9">
          <w:rPr>
            <w:noProof/>
            <w:webHidden/>
          </w:rPr>
          <w:tab/>
        </w:r>
        <w:r w:rsidR="001B7AB9">
          <w:rPr>
            <w:noProof/>
            <w:webHidden/>
          </w:rPr>
          <w:fldChar w:fldCharType="begin"/>
        </w:r>
        <w:r w:rsidR="001B7AB9">
          <w:rPr>
            <w:noProof/>
            <w:webHidden/>
          </w:rPr>
          <w:instrText xml:space="preserve"> PAGEREF _Toc454836335 \h </w:instrText>
        </w:r>
        <w:r w:rsidR="001B7AB9">
          <w:rPr>
            <w:noProof/>
            <w:webHidden/>
          </w:rPr>
        </w:r>
        <w:r w:rsidR="001B7AB9">
          <w:rPr>
            <w:noProof/>
            <w:webHidden/>
          </w:rPr>
          <w:fldChar w:fldCharType="separate"/>
        </w:r>
        <w:r w:rsidR="00BE2688">
          <w:rPr>
            <w:noProof/>
            <w:webHidden/>
          </w:rPr>
          <w:t>12</w:t>
        </w:r>
        <w:r w:rsidR="001B7AB9">
          <w:rPr>
            <w:noProof/>
            <w:webHidden/>
          </w:rPr>
          <w:fldChar w:fldCharType="end"/>
        </w:r>
      </w:hyperlink>
    </w:p>
    <w:p w:rsidR="001B7AB9" w:rsidRDefault="00C83EF3">
      <w:pPr>
        <w:pStyle w:val="TOC3"/>
        <w:rPr>
          <w:rFonts w:asciiTheme="minorHAnsi" w:eastAsiaTheme="minorEastAsia" w:hAnsiTheme="minorHAnsi" w:cstheme="minorBidi"/>
          <w:noProof/>
          <w:szCs w:val="22"/>
        </w:rPr>
      </w:pPr>
      <w:hyperlink w:anchor="_Toc454836336" w:history="1">
        <w:r w:rsidR="001B7AB9" w:rsidRPr="003E732F">
          <w:rPr>
            <w:rStyle w:val="Hyperlink"/>
            <w:noProof/>
          </w:rPr>
          <w:t>2.2.2</w:t>
        </w:r>
        <w:r w:rsidR="001B7AB9">
          <w:rPr>
            <w:rFonts w:asciiTheme="minorHAnsi" w:eastAsiaTheme="minorEastAsia" w:hAnsiTheme="minorHAnsi" w:cstheme="minorBidi"/>
            <w:noProof/>
            <w:szCs w:val="22"/>
          </w:rPr>
          <w:tab/>
        </w:r>
        <w:r w:rsidR="001B7AB9" w:rsidRPr="003E732F">
          <w:rPr>
            <w:rStyle w:val="Hyperlink"/>
            <w:noProof/>
          </w:rPr>
          <w:t>Secteurs aval</w:t>
        </w:r>
        <w:r w:rsidR="001B7AB9">
          <w:rPr>
            <w:noProof/>
            <w:webHidden/>
          </w:rPr>
          <w:tab/>
        </w:r>
        <w:r w:rsidR="001B7AB9">
          <w:rPr>
            <w:noProof/>
            <w:webHidden/>
          </w:rPr>
          <w:fldChar w:fldCharType="begin"/>
        </w:r>
        <w:r w:rsidR="001B7AB9">
          <w:rPr>
            <w:noProof/>
            <w:webHidden/>
          </w:rPr>
          <w:instrText xml:space="preserve"> PAGEREF _Toc454836336 \h </w:instrText>
        </w:r>
        <w:r w:rsidR="001B7AB9">
          <w:rPr>
            <w:noProof/>
            <w:webHidden/>
          </w:rPr>
        </w:r>
        <w:r w:rsidR="001B7AB9">
          <w:rPr>
            <w:noProof/>
            <w:webHidden/>
          </w:rPr>
          <w:fldChar w:fldCharType="separate"/>
        </w:r>
        <w:r w:rsidR="00BE2688">
          <w:rPr>
            <w:noProof/>
            <w:webHidden/>
          </w:rPr>
          <w:t>12</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37" w:history="1">
        <w:r w:rsidR="001B7AB9" w:rsidRPr="003E732F">
          <w:rPr>
            <w:rStyle w:val="Hyperlink"/>
            <w:noProof/>
          </w:rPr>
          <w:t>3</w:t>
        </w:r>
        <w:r w:rsidR="001B7AB9">
          <w:rPr>
            <w:rFonts w:asciiTheme="minorHAnsi" w:eastAsiaTheme="minorEastAsia" w:hAnsiTheme="minorHAnsi" w:cstheme="minorBidi"/>
            <w:noProof/>
            <w:szCs w:val="22"/>
          </w:rPr>
          <w:tab/>
        </w:r>
        <w:r w:rsidR="001B7AB9" w:rsidRPr="003E732F">
          <w:rPr>
            <w:rStyle w:val="Hyperlink"/>
            <w:noProof/>
          </w:rPr>
          <w:t>Production de service</w:t>
        </w:r>
        <w:r w:rsidR="001B7AB9">
          <w:rPr>
            <w:noProof/>
            <w:webHidden/>
          </w:rPr>
          <w:tab/>
        </w:r>
        <w:r w:rsidR="001B7AB9">
          <w:rPr>
            <w:noProof/>
            <w:webHidden/>
          </w:rPr>
          <w:fldChar w:fldCharType="begin"/>
        </w:r>
        <w:r w:rsidR="001B7AB9">
          <w:rPr>
            <w:noProof/>
            <w:webHidden/>
          </w:rPr>
          <w:instrText xml:space="preserve"> PAGEREF _Toc454836337 \h </w:instrText>
        </w:r>
        <w:r w:rsidR="001B7AB9">
          <w:rPr>
            <w:noProof/>
            <w:webHidden/>
          </w:rPr>
        </w:r>
        <w:r w:rsidR="001B7AB9">
          <w:rPr>
            <w:noProof/>
            <w:webHidden/>
          </w:rPr>
          <w:fldChar w:fldCharType="separate"/>
        </w:r>
        <w:r w:rsidR="00BE2688">
          <w:rPr>
            <w:noProof/>
            <w:webHidden/>
          </w:rPr>
          <w:t>13</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38" w:history="1">
        <w:r w:rsidR="001B7AB9" w:rsidRPr="003E732F">
          <w:rPr>
            <w:rStyle w:val="Hyperlink"/>
            <w:noProof/>
          </w:rPr>
          <w:t>4</w:t>
        </w:r>
        <w:r w:rsidR="001B7AB9">
          <w:rPr>
            <w:rFonts w:asciiTheme="minorHAnsi" w:eastAsiaTheme="minorEastAsia" w:hAnsiTheme="minorHAnsi" w:cstheme="minorBidi"/>
            <w:noProof/>
            <w:szCs w:val="22"/>
          </w:rPr>
          <w:tab/>
        </w:r>
        <w:r w:rsidR="001B7AB9" w:rsidRPr="003E732F">
          <w:rPr>
            <w:rStyle w:val="Hyperlink"/>
            <w:noProof/>
          </w:rPr>
          <w:t>Actualité de la profession</w:t>
        </w:r>
        <w:r w:rsidR="001B7AB9">
          <w:rPr>
            <w:noProof/>
            <w:webHidden/>
          </w:rPr>
          <w:tab/>
        </w:r>
        <w:r w:rsidR="001B7AB9">
          <w:rPr>
            <w:noProof/>
            <w:webHidden/>
          </w:rPr>
          <w:fldChar w:fldCharType="begin"/>
        </w:r>
        <w:r w:rsidR="001B7AB9">
          <w:rPr>
            <w:noProof/>
            <w:webHidden/>
          </w:rPr>
          <w:instrText xml:space="preserve"> PAGEREF _Toc454836338 \h </w:instrText>
        </w:r>
        <w:r w:rsidR="001B7AB9">
          <w:rPr>
            <w:noProof/>
            <w:webHidden/>
          </w:rPr>
        </w:r>
        <w:r w:rsidR="001B7AB9">
          <w:rPr>
            <w:noProof/>
            <w:webHidden/>
          </w:rPr>
          <w:fldChar w:fldCharType="separate"/>
        </w:r>
        <w:r w:rsidR="00BE2688">
          <w:rPr>
            <w:noProof/>
            <w:webHidden/>
          </w:rPr>
          <w:t>14</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39" w:history="1">
        <w:r w:rsidR="001B7AB9" w:rsidRPr="003E732F">
          <w:rPr>
            <w:rStyle w:val="Hyperlink"/>
            <w:noProof/>
          </w:rPr>
          <w:t>4.1</w:t>
        </w:r>
        <w:r w:rsidR="001B7AB9">
          <w:rPr>
            <w:rFonts w:asciiTheme="minorHAnsi" w:eastAsiaTheme="minorEastAsia" w:hAnsiTheme="minorHAnsi" w:cstheme="minorBidi"/>
            <w:noProof/>
            <w:szCs w:val="22"/>
          </w:rPr>
          <w:tab/>
        </w:r>
        <w:r w:rsidR="001B7AB9" w:rsidRPr="003E732F">
          <w:rPr>
            <w:rStyle w:val="Hyperlink"/>
            <w:noProof/>
          </w:rPr>
          <w:t>Les fusions acquisitions</w:t>
        </w:r>
        <w:r w:rsidR="001B7AB9">
          <w:rPr>
            <w:noProof/>
            <w:webHidden/>
          </w:rPr>
          <w:tab/>
        </w:r>
        <w:r w:rsidR="001B7AB9">
          <w:rPr>
            <w:noProof/>
            <w:webHidden/>
          </w:rPr>
          <w:fldChar w:fldCharType="begin"/>
        </w:r>
        <w:r w:rsidR="001B7AB9">
          <w:rPr>
            <w:noProof/>
            <w:webHidden/>
          </w:rPr>
          <w:instrText xml:space="preserve"> PAGEREF _Toc454836339 \h </w:instrText>
        </w:r>
        <w:r w:rsidR="001B7AB9">
          <w:rPr>
            <w:noProof/>
            <w:webHidden/>
          </w:rPr>
        </w:r>
        <w:r w:rsidR="001B7AB9">
          <w:rPr>
            <w:noProof/>
            <w:webHidden/>
          </w:rPr>
          <w:fldChar w:fldCharType="separate"/>
        </w:r>
        <w:r w:rsidR="00BE2688">
          <w:rPr>
            <w:noProof/>
            <w:webHidden/>
          </w:rPr>
          <w:t>14</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40" w:history="1">
        <w:r w:rsidR="001B7AB9" w:rsidRPr="003E732F">
          <w:rPr>
            <w:rStyle w:val="Hyperlink"/>
            <w:noProof/>
          </w:rPr>
          <w:t>4.2</w:t>
        </w:r>
        <w:r w:rsidR="001B7AB9">
          <w:rPr>
            <w:rFonts w:asciiTheme="minorHAnsi" w:eastAsiaTheme="minorEastAsia" w:hAnsiTheme="minorHAnsi" w:cstheme="minorBidi"/>
            <w:noProof/>
            <w:szCs w:val="22"/>
          </w:rPr>
          <w:tab/>
        </w:r>
        <w:r w:rsidR="001B7AB9" w:rsidRPr="003E732F">
          <w:rPr>
            <w:rStyle w:val="Hyperlink"/>
            <w:noProof/>
          </w:rPr>
          <w:t>Synthèse de l’actualité de la presse</w:t>
        </w:r>
        <w:r w:rsidR="001B7AB9">
          <w:rPr>
            <w:noProof/>
            <w:webHidden/>
          </w:rPr>
          <w:tab/>
        </w:r>
        <w:r w:rsidR="001B7AB9">
          <w:rPr>
            <w:noProof/>
            <w:webHidden/>
          </w:rPr>
          <w:fldChar w:fldCharType="begin"/>
        </w:r>
        <w:r w:rsidR="001B7AB9">
          <w:rPr>
            <w:noProof/>
            <w:webHidden/>
          </w:rPr>
          <w:instrText xml:space="preserve"> PAGEREF _Toc454836340 \h </w:instrText>
        </w:r>
        <w:r w:rsidR="001B7AB9">
          <w:rPr>
            <w:noProof/>
            <w:webHidden/>
          </w:rPr>
        </w:r>
        <w:r w:rsidR="001B7AB9">
          <w:rPr>
            <w:noProof/>
            <w:webHidden/>
          </w:rPr>
          <w:fldChar w:fldCharType="separate"/>
        </w:r>
        <w:r w:rsidR="00BE2688">
          <w:rPr>
            <w:noProof/>
            <w:webHidden/>
          </w:rPr>
          <w:t>14</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41" w:history="1">
        <w:r w:rsidR="001B7AB9" w:rsidRPr="003E732F">
          <w:rPr>
            <w:rStyle w:val="Hyperlink"/>
            <w:noProof/>
          </w:rPr>
          <w:t>5</w:t>
        </w:r>
        <w:r w:rsidR="001B7AB9">
          <w:rPr>
            <w:rFonts w:asciiTheme="minorHAnsi" w:eastAsiaTheme="minorEastAsia" w:hAnsiTheme="minorHAnsi" w:cstheme="minorBidi"/>
            <w:noProof/>
            <w:szCs w:val="22"/>
          </w:rPr>
          <w:tab/>
        </w:r>
        <w:r w:rsidR="001B7AB9" w:rsidRPr="003E732F">
          <w:rPr>
            <w:rStyle w:val="Hyperlink"/>
            <w:noProof/>
          </w:rPr>
          <w:t>Procédures technologiques et innovation</w:t>
        </w:r>
        <w:r w:rsidR="001B7AB9">
          <w:rPr>
            <w:noProof/>
            <w:webHidden/>
          </w:rPr>
          <w:tab/>
        </w:r>
        <w:r w:rsidR="001B7AB9">
          <w:rPr>
            <w:noProof/>
            <w:webHidden/>
          </w:rPr>
          <w:fldChar w:fldCharType="begin"/>
        </w:r>
        <w:r w:rsidR="001B7AB9">
          <w:rPr>
            <w:noProof/>
            <w:webHidden/>
          </w:rPr>
          <w:instrText xml:space="preserve"> PAGEREF _Toc454836341 \h </w:instrText>
        </w:r>
        <w:r w:rsidR="001B7AB9">
          <w:rPr>
            <w:noProof/>
            <w:webHidden/>
          </w:rPr>
        </w:r>
        <w:r w:rsidR="001B7AB9">
          <w:rPr>
            <w:noProof/>
            <w:webHidden/>
          </w:rPr>
          <w:fldChar w:fldCharType="separate"/>
        </w:r>
        <w:r w:rsidR="00BE2688">
          <w:rPr>
            <w:noProof/>
            <w:webHidden/>
          </w:rPr>
          <w:t>16</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42" w:history="1">
        <w:r w:rsidR="001B7AB9" w:rsidRPr="003E732F">
          <w:rPr>
            <w:rStyle w:val="Hyperlink"/>
            <w:noProof/>
          </w:rPr>
          <w:t>5.1</w:t>
        </w:r>
        <w:r w:rsidR="001B7AB9">
          <w:rPr>
            <w:rFonts w:asciiTheme="minorHAnsi" w:eastAsiaTheme="minorEastAsia" w:hAnsiTheme="minorHAnsi" w:cstheme="minorBidi"/>
            <w:noProof/>
            <w:szCs w:val="22"/>
          </w:rPr>
          <w:tab/>
        </w:r>
        <w:r w:rsidR="001B7AB9" w:rsidRPr="003E732F">
          <w:rPr>
            <w:rStyle w:val="Hyperlink"/>
            <w:noProof/>
          </w:rPr>
          <w:t>Industrialisation et standardisation des services informatiques</w:t>
        </w:r>
        <w:r w:rsidR="001B7AB9">
          <w:rPr>
            <w:noProof/>
            <w:webHidden/>
          </w:rPr>
          <w:tab/>
        </w:r>
        <w:r w:rsidR="001B7AB9">
          <w:rPr>
            <w:noProof/>
            <w:webHidden/>
          </w:rPr>
          <w:fldChar w:fldCharType="begin"/>
        </w:r>
        <w:r w:rsidR="001B7AB9">
          <w:rPr>
            <w:noProof/>
            <w:webHidden/>
          </w:rPr>
          <w:instrText xml:space="preserve"> PAGEREF _Toc454836342 \h </w:instrText>
        </w:r>
        <w:r w:rsidR="001B7AB9">
          <w:rPr>
            <w:noProof/>
            <w:webHidden/>
          </w:rPr>
        </w:r>
        <w:r w:rsidR="001B7AB9">
          <w:rPr>
            <w:noProof/>
            <w:webHidden/>
          </w:rPr>
          <w:fldChar w:fldCharType="separate"/>
        </w:r>
        <w:r w:rsidR="00BE2688">
          <w:rPr>
            <w:noProof/>
            <w:webHidden/>
          </w:rPr>
          <w:t>16</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43" w:history="1">
        <w:r w:rsidR="001B7AB9" w:rsidRPr="003E732F">
          <w:rPr>
            <w:rStyle w:val="Hyperlink"/>
            <w:noProof/>
          </w:rPr>
          <w:t>5.2</w:t>
        </w:r>
        <w:r w:rsidR="001B7AB9">
          <w:rPr>
            <w:rFonts w:asciiTheme="minorHAnsi" w:eastAsiaTheme="minorEastAsia" w:hAnsiTheme="minorHAnsi" w:cstheme="minorBidi"/>
            <w:noProof/>
            <w:szCs w:val="22"/>
          </w:rPr>
          <w:tab/>
        </w:r>
        <w:r w:rsidR="001B7AB9" w:rsidRPr="003E732F">
          <w:rPr>
            <w:rStyle w:val="Hyperlink"/>
            <w:noProof/>
          </w:rPr>
          <w:t>L’innovation dans les services informatiques</w:t>
        </w:r>
        <w:r w:rsidR="001B7AB9">
          <w:rPr>
            <w:noProof/>
            <w:webHidden/>
          </w:rPr>
          <w:tab/>
        </w:r>
        <w:r w:rsidR="001B7AB9">
          <w:rPr>
            <w:noProof/>
            <w:webHidden/>
          </w:rPr>
          <w:fldChar w:fldCharType="begin"/>
        </w:r>
        <w:r w:rsidR="001B7AB9">
          <w:rPr>
            <w:noProof/>
            <w:webHidden/>
          </w:rPr>
          <w:instrText xml:space="preserve"> PAGEREF _Toc454836343 \h </w:instrText>
        </w:r>
        <w:r w:rsidR="001B7AB9">
          <w:rPr>
            <w:noProof/>
            <w:webHidden/>
          </w:rPr>
        </w:r>
        <w:r w:rsidR="001B7AB9">
          <w:rPr>
            <w:noProof/>
            <w:webHidden/>
          </w:rPr>
          <w:fldChar w:fldCharType="separate"/>
        </w:r>
        <w:r w:rsidR="00BE2688">
          <w:rPr>
            <w:noProof/>
            <w:webHidden/>
          </w:rPr>
          <w:t>16</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44" w:history="1">
        <w:r w:rsidR="001B7AB9" w:rsidRPr="003E732F">
          <w:rPr>
            <w:rStyle w:val="Hyperlink"/>
            <w:noProof/>
          </w:rPr>
          <w:t>6</w:t>
        </w:r>
        <w:r w:rsidR="001B7AB9">
          <w:rPr>
            <w:rFonts w:asciiTheme="minorHAnsi" w:eastAsiaTheme="minorEastAsia" w:hAnsiTheme="minorHAnsi" w:cstheme="minorBidi"/>
            <w:noProof/>
            <w:szCs w:val="22"/>
          </w:rPr>
          <w:tab/>
        </w:r>
        <w:r w:rsidR="001B7AB9" w:rsidRPr="003E732F">
          <w:rPr>
            <w:rStyle w:val="Hyperlink"/>
            <w:noProof/>
          </w:rPr>
          <w:t>Conjoncture</w:t>
        </w:r>
        <w:r w:rsidR="001B7AB9">
          <w:rPr>
            <w:noProof/>
            <w:webHidden/>
          </w:rPr>
          <w:tab/>
        </w:r>
        <w:r w:rsidR="001B7AB9">
          <w:rPr>
            <w:noProof/>
            <w:webHidden/>
          </w:rPr>
          <w:fldChar w:fldCharType="begin"/>
        </w:r>
        <w:r w:rsidR="001B7AB9">
          <w:rPr>
            <w:noProof/>
            <w:webHidden/>
          </w:rPr>
          <w:instrText xml:space="preserve"> PAGEREF _Toc454836344 \h </w:instrText>
        </w:r>
        <w:r w:rsidR="001B7AB9">
          <w:rPr>
            <w:noProof/>
            <w:webHidden/>
          </w:rPr>
        </w:r>
        <w:r w:rsidR="001B7AB9">
          <w:rPr>
            <w:noProof/>
            <w:webHidden/>
          </w:rPr>
          <w:fldChar w:fldCharType="separate"/>
        </w:r>
        <w:r w:rsidR="00BE2688">
          <w:rPr>
            <w:noProof/>
            <w:webHidden/>
          </w:rPr>
          <w:t>17</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45" w:history="1">
        <w:r w:rsidR="001B7AB9" w:rsidRPr="003E732F">
          <w:rPr>
            <w:rStyle w:val="Hyperlink"/>
            <w:noProof/>
          </w:rPr>
          <w:t>6.1</w:t>
        </w:r>
        <w:r w:rsidR="001B7AB9">
          <w:rPr>
            <w:rFonts w:asciiTheme="minorHAnsi" w:eastAsiaTheme="minorEastAsia" w:hAnsiTheme="minorHAnsi" w:cstheme="minorBidi"/>
            <w:noProof/>
            <w:szCs w:val="22"/>
          </w:rPr>
          <w:tab/>
        </w:r>
        <w:r w:rsidR="001B7AB9" w:rsidRPr="003E732F">
          <w:rPr>
            <w:rStyle w:val="Hyperlink"/>
            <w:noProof/>
          </w:rPr>
          <w:t>Indice de chiffre d’affaire</w:t>
        </w:r>
        <w:r w:rsidR="001B7AB9">
          <w:rPr>
            <w:noProof/>
            <w:webHidden/>
          </w:rPr>
          <w:tab/>
        </w:r>
        <w:r w:rsidR="001B7AB9">
          <w:rPr>
            <w:noProof/>
            <w:webHidden/>
          </w:rPr>
          <w:fldChar w:fldCharType="begin"/>
        </w:r>
        <w:r w:rsidR="001B7AB9">
          <w:rPr>
            <w:noProof/>
            <w:webHidden/>
          </w:rPr>
          <w:instrText xml:space="preserve"> PAGEREF _Toc454836345 \h </w:instrText>
        </w:r>
        <w:r w:rsidR="001B7AB9">
          <w:rPr>
            <w:noProof/>
            <w:webHidden/>
          </w:rPr>
        </w:r>
        <w:r w:rsidR="001B7AB9">
          <w:rPr>
            <w:noProof/>
            <w:webHidden/>
          </w:rPr>
          <w:fldChar w:fldCharType="separate"/>
        </w:r>
        <w:r w:rsidR="00BE2688">
          <w:rPr>
            <w:noProof/>
            <w:webHidden/>
          </w:rPr>
          <w:t>17</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46" w:history="1">
        <w:r w:rsidR="001B7AB9" w:rsidRPr="003E732F">
          <w:rPr>
            <w:rStyle w:val="Hyperlink"/>
            <w:noProof/>
          </w:rPr>
          <w:t>6.2</w:t>
        </w:r>
        <w:r w:rsidR="001B7AB9">
          <w:rPr>
            <w:rFonts w:asciiTheme="minorHAnsi" w:eastAsiaTheme="minorEastAsia" w:hAnsiTheme="minorHAnsi" w:cstheme="minorBidi"/>
            <w:noProof/>
            <w:szCs w:val="22"/>
          </w:rPr>
          <w:tab/>
        </w:r>
        <w:r w:rsidR="001B7AB9" w:rsidRPr="003E732F">
          <w:rPr>
            <w:rStyle w:val="Hyperlink"/>
            <w:noProof/>
          </w:rPr>
          <w:t>Indice des prix des prestations de service</w:t>
        </w:r>
        <w:r w:rsidR="001B7AB9">
          <w:rPr>
            <w:noProof/>
            <w:webHidden/>
          </w:rPr>
          <w:tab/>
        </w:r>
        <w:r w:rsidR="001B7AB9">
          <w:rPr>
            <w:noProof/>
            <w:webHidden/>
          </w:rPr>
          <w:fldChar w:fldCharType="begin"/>
        </w:r>
        <w:r w:rsidR="001B7AB9">
          <w:rPr>
            <w:noProof/>
            <w:webHidden/>
          </w:rPr>
          <w:instrText xml:space="preserve"> PAGEREF _Toc454836346 \h </w:instrText>
        </w:r>
        <w:r w:rsidR="001B7AB9">
          <w:rPr>
            <w:noProof/>
            <w:webHidden/>
          </w:rPr>
        </w:r>
        <w:r w:rsidR="001B7AB9">
          <w:rPr>
            <w:noProof/>
            <w:webHidden/>
          </w:rPr>
          <w:fldChar w:fldCharType="separate"/>
        </w:r>
        <w:r w:rsidR="00BE2688">
          <w:rPr>
            <w:noProof/>
            <w:webHidden/>
          </w:rPr>
          <w:t>17</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47" w:history="1">
        <w:r w:rsidR="001B7AB9" w:rsidRPr="003E732F">
          <w:rPr>
            <w:rStyle w:val="Hyperlink"/>
            <w:noProof/>
          </w:rPr>
          <w:t>7</w:t>
        </w:r>
        <w:r w:rsidR="001B7AB9">
          <w:rPr>
            <w:rFonts w:asciiTheme="minorHAnsi" w:eastAsiaTheme="minorEastAsia" w:hAnsiTheme="minorHAnsi" w:cstheme="minorBidi"/>
            <w:noProof/>
            <w:szCs w:val="22"/>
          </w:rPr>
          <w:tab/>
        </w:r>
        <w:r w:rsidR="001B7AB9" w:rsidRPr="003E732F">
          <w:rPr>
            <w:rStyle w:val="Hyperlink"/>
            <w:noProof/>
          </w:rPr>
          <w:t>Place du secteur dans l’économie</w:t>
        </w:r>
        <w:r w:rsidR="001B7AB9">
          <w:rPr>
            <w:noProof/>
            <w:webHidden/>
          </w:rPr>
          <w:tab/>
        </w:r>
        <w:r w:rsidR="001B7AB9">
          <w:rPr>
            <w:noProof/>
            <w:webHidden/>
          </w:rPr>
          <w:fldChar w:fldCharType="begin"/>
        </w:r>
        <w:r w:rsidR="001B7AB9">
          <w:rPr>
            <w:noProof/>
            <w:webHidden/>
          </w:rPr>
          <w:instrText xml:space="preserve"> PAGEREF _Toc454836347 \h </w:instrText>
        </w:r>
        <w:r w:rsidR="001B7AB9">
          <w:rPr>
            <w:noProof/>
            <w:webHidden/>
          </w:rPr>
        </w:r>
        <w:r w:rsidR="001B7AB9">
          <w:rPr>
            <w:noProof/>
            <w:webHidden/>
          </w:rPr>
          <w:fldChar w:fldCharType="separate"/>
        </w:r>
        <w:r w:rsidR="00BE2688">
          <w:rPr>
            <w:noProof/>
            <w:webHidden/>
          </w:rPr>
          <w:t>20</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48" w:history="1">
        <w:r w:rsidR="001B7AB9" w:rsidRPr="003E732F">
          <w:rPr>
            <w:rStyle w:val="Hyperlink"/>
            <w:noProof/>
          </w:rPr>
          <w:t>8</w:t>
        </w:r>
        <w:r w:rsidR="001B7AB9">
          <w:rPr>
            <w:rFonts w:asciiTheme="minorHAnsi" w:eastAsiaTheme="minorEastAsia" w:hAnsiTheme="minorHAnsi" w:cstheme="minorBidi"/>
            <w:noProof/>
            <w:szCs w:val="22"/>
          </w:rPr>
          <w:tab/>
        </w:r>
        <w:r w:rsidR="001B7AB9" w:rsidRPr="003E732F">
          <w:rPr>
            <w:rStyle w:val="Hyperlink"/>
            <w:noProof/>
          </w:rPr>
          <w:t>Analyse des performances</w:t>
        </w:r>
        <w:r w:rsidR="001B7AB9">
          <w:rPr>
            <w:noProof/>
            <w:webHidden/>
          </w:rPr>
          <w:tab/>
        </w:r>
        <w:r w:rsidR="001B7AB9">
          <w:rPr>
            <w:noProof/>
            <w:webHidden/>
          </w:rPr>
          <w:fldChar w:fldCharType="begin"/>
        </w:r>
        <w:r w:rsidR="001B7AB9">
          <w:rPr>
            <w:noProof/>
            <w:webHidden/>
          </w:rPr>
          <w:instrText xml:space="preserve"> PAGEREF _Toc454836348 \h </w:instrText>
        </w:r>
        <w:r w:rsidR="001B7AB9">
          <w:rPr>
            <w:noProof/>
            <w:webHidden/>
          </w:rPr>
        </w:r>
        <w:r w:rsidR="001B7AB9">
          <w:rPr>
            <w:noProof/>
            <w:webHidden/>
          </w:rPr>
          <w:fldChar w:fldCharType="separate"/>
        </w:r>
        <w:r w:rsidR="00BE2688">
          <w:rPr>
            <w:noProof/>
            <w:webHidden/>
          </w:rPr>
          <w:t>23</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49" w:history="1">
        <w:r w:rsidR="001B7AB9" w:rsidRPr="003E732F">
          <w:rPr>
            <w:rStyle w:val="Hyperlink"/>
            <w:noProof/>
          </w:rPr>
          <w:t>9</w:t>
        </w:r>
        <w:r w:rsidR="001B7AB9">
          <w:rPr>
            <w:rFonts w:asciiTheme="minorHAnsi" w:eastAsiaTheme="minorEastAsia" w:hAnsiTheme="minorHAnsi" w:cstheme="minorBidi"/>
            <w:noProof/>
            <w:szCs w:val="22"/>
          </w:rPr>
          <w:tab/>
        </w:r>
        <w:r w:rsidR="001B7AB9" w:rsidRPr="003E732F">
          <w:rPr>
            <w:rStyle w:val="Hyperlink"/>
            <w:noProof/>
          </w:rPr>
          <w:t>Démographie, qualification et localisation des emplois</w:t>
        </w:r>
        <w:r w:rsidR="001B7AB9">
          <w:rPr>
            <w:noProof/>
            <w:webHidden/>
          </w:rPr>
          <w:tab/>
        </w:r>
        <w:r w:rsidR="001B7AB9">
          <w:rPr>
            <w:noProof/>
            <w:webHidden/>
          </w:rPr>
          <w:fldChar w:fldCharType="begin"/>
        </w:r>
        <w:r w:rsidR="001B7AB9">
          <w:rPr>
            <w:noProof/>
            <w:webHidden/>
          </w:rPr>
          <w:instrText xml:space="preserve"> PAGEREF _Toc454836349 \h </w:instrText>
        </w:r>
        <w:r w:rsidR="001B7AB9">
          <w:rPr>
            <w:noProof/>
            <w:webHidden/>
          </w:rPr>
        </w:r>
        <w:r w:rsidR="001B7AB9">
          <w:rPr>
            <w:noProof/>
            <w:webHidden/>
          </w:rPr>
          <w:fldChar w:fldCharType="separate"/>
        </w:r>
        <w:r w:rsidR="00BE2688">
          <w:rPr>
            <w:noProof/>
            <w:webHidden/>
          </w:rPr>
          <w:t>25</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50" w:history="1">
        <w:r w:rsidR="001B7AB9" w:rsidRPr="003E732F">
          <w:rPr>
            <w:rStyle w:val="Hyperlink"/>
            <w:noProof/>
          </w:rPr>
          <w:t>9.1</w:t>
        </w:r>
        <w:r w:rsidR="001B7AB9">
          <w:rPr>
            <w:rFonts w:asciiTheme="minorHAnsi" w:eastAsiaTheme="minorEastAsia" w:hAnsiTheme="minorHAnsi" w:cstheme="minorBidi"/>
            <w:noProof/>
            <w:szCs w:val="22"/>
          </w:rPr>
          <w:tab/>
        </w:r>
        <w:r w:rsidR="001B7AB9" w:rsidRPr="003E732F">
          <w:rPr>
            <w:rStyle w:val="Hyperlink"/>
            <w:noProof/>
          </w:rPr>
          <w:t>Démographie des entreprises su secteur</w:t>
        </w:r>
        <w:r w:rsidR="001B7AB9">
          <w:rPr>
            <w:noProof/>
            <w:webHidden/>
          </w:rPr>
          <w:tab/>
        </w:r>
        <w:r w:rsidR="001B7AB9">
          <w:rPr>
            <w:noProof/>
            <w:webHidden/>
          </w:rPr>
          <w:fldChar w:fldCharType="begin"/>
        </w:r>
        <w:r w:rsidR="001B7AB9">
          <w:rPr>
            <w:noProof/>
            <w:webHidden/>
          </w:rPr>
          <w:instrText xml:space="preserve"> PAGEREF _Toc454836350 \h </w:instrText>
        </w:r>
        <w:r w:rsidR="001B7AB9">
          <w:rPr>
            <w:noProof/>
            <w:webHidden/>
          </w:rPr>
        </w:r>
        <w:r w:rsidR="001B7AB9">
          <w:rPr>
            <w:noProof/>
            <w:webHidden/>
          </w:rPr>
          <w:fldChar w:fldCharType="separate"/>
        </w:r>
        <w:r w:rsidR="00BE2688">
          <w:rPr>
            <w:noProof/>
            <w:webHidden/>
          </w:rPr>
          <w:t>25</w:t>
        </w:r>
        <w:r w:rsidR="001B7AB9">
          <w:rPr>
            <w:noProof/>
            <w:webHidden/>
          </w:rPr>
          <w:fldChar w:fldCharType="end"/>
        </w:r>
      </w:hyperlink>
    </w:p>
    <w:p w:rsidR="001B7AB9" w:rsidRDefault="00C83EF3">
      <w:pPr>
        <w:pStyle w:val="TOC3"/>
        <w:rPr>
          <w:rFonts w:asciiTheme="minorHAnsi" w:eastAsiaTheme="minorEastAsia" w:hAnsiTheme="minorHAnsi" w:cstheme="minorBidi"/>
          <w:noProof/>
          <w:szCs w:val="22"/>
        </w:rPr>
      </w:pPr>
      <w:hyperlink w:anchor="_Toc454836351" w:history="1">
        <w:r w:rsidR="001B7AB9" w:rsidRPr="003E732F">
          <w:rPr>
            <w:rStyle w:val="Hyperlink"/>
            <w:noProof/>
          </w:rPr>
          <w:t>9.1.1</w:t>
        </w:r>
        <w:r w:rsidR="001B7AB9">
          <w:rPr>
            <w:rFonts w:asciiTheme="minorHAnsi" w:eastAsiaTheme="minorEastAsia" w:hAnsiTheme="minorHAnsi" w:cstheme="minorBidi"/>
            <w:noProof/>
            <w:szCs w:val="22"/>
          </w:rPr>
          <w:tab/>
        </w:r>
        <w:r w:rsidR="001B7AB9" w:rsidRPr="003E732F">
          <w:rPr>
            <w:rStyle w:val="Hyperlink"/>
            <w:noProof/>
          </w:rPr>
          <w:t>Structure du secteur</w:t>
        </w:r>
        <w:r w:rsidR="001B7AB9">
          <w:rPr>
            <w:noProof/>
            <w:webHidden/>
          </w:rPr>
          <w:tab/>
        </w:r>
        <w:r w:rsidR="001B7AB9">
          <w:rPr>
            <w:noProof/>
            <w:webHidden/>
          </w:rPr>
          <w:fldChar w:fldCharType="begin"/>
        </w:r>
        <w:r w:rsidR="001B7AB9">
          <w:rPr>
            <w:noProof/>
            <w:webHidden/>
          </w:rPr>
          <w:instrText xml:space="preserve"> PAGEREF _Toc454836351 \h </w:instrText>
        </w:r>
        <w:r w:rsidR="001B7AB9">
          <w:rPr>
            <w:noProof/>
            <w:webHidden/>
          </w:rPr>
        </w:r>
        <w:r w:rsidR="001B7AB9">
          <w:rPr>
            <w:noProof/>
            <w:webHidden/>
          </w:rPr>
          <w:fldChar w:fldCharType="separate"/>
        </w:r>
        <w:r w:rsidR="00BE2688">
          <w:rPr>
            <w:noProof/>
            <w:webHidden/>
          </w:rPr>
          <w:t>25</w:t>
        </w:r>
        <w:r w:rsidR="001B7AB9">
          <w:rPr>
            <w:noProof/>
            <w:webHidden/>
          </w:rPr>
          <w:fldChar w:fldCharType="end"/>
        </w:r>
      </w:hyperlink>
    </w:p>
    <w:p w:rsidR="001B7AB9" w:rsidRDefault="00C83EF3">
      <w:pPr>
        <w:pStyle w:val="TOC3"/>
        <w:rPr>
          <w:rFonts w:asciiTheme="minorHAnsi" w:eastAsiaTheme="minorEastAsia" w:hAnsiTheme="minorHAnsi" w:cstheme="minorBidi"/>
          <w:noProof/>
          <w:szCs w:val="22"/>
        </w:rPr>
      </w:pPr>
      <w:hyperlink w:anchor="_Toc454836352" w:history="1">
        <w:r w:rsidR="001B7AB9" w:rsidRPr="003E732F">
          <w:rPr>
            <w:rStyle w:val="Hyperlink"/>
            <w:noProof/>
          </w:rPr>
          <w:t>9.1.2</w:t>
        </w:r>
        <w:r w:rsidR="001B7AB9">
          <w:rPr>
            <w:rFonts w:asciiTheme="minorHAnsi" w:eastAsiaTheme="minorEastAsia" w:hAnsiTheme="minorHAnsi" w:cstheme="minorBidi"/>
            <w:noProof/>
            <w:szCs w:val="22"/>
          </w:rPr>
          <w:tab/>
        </w:r>
        <w:r w:rsidR="001B7AB9" w:rsidRPr="003E732F">
          <w:rPr>
            <w:rStyle w:val="Hyperlink"/>
            <w:noProof/>
          </w:rPr>
          <w:t>Localisation des entreprises</w:t>
        </w:r>
        <w:r w:rsidR="001B7AB9">
          <w:rPr>
            <w:noProof/>
            <w:webHidden/>
          </w:rPr>
          <w:tab/>
        </w:r>
        <w:r w:rsidR="001B7AB9">
          <w:rPr>
            <w:noProof/>
            <w:webHidden/>
          </w:rPr>
          <w:fldChar w:fldCharType="begin"/>
        </w:r>
        <w:r w:rsidR="001B7AB9">
          <w:rPr>
            <w:noProof/>
            <w:webHidden/>
          </w:rPr>
          <w:instrText xml:space="preserve"> PAGEREF _Toc454836352 \h </w:instrText>
        </w:r>
        <w:r w:rsidR="001B7AB9">
          <w:rPr>
            <w:noProof/>
            <w:webHidden/>
          </w:rPr>
        </w:r>
        <w:r w:rsidR="001B7AB9">
          <w:rPr>
            <w:noProof/>
            <w:webHidden/>
          </w:rPr>
          <w:fldChar w:fldCharType="separate"/>
        </w:r>
        <w:r w:rsidR="00BE2688">
          <w:rPr>
            <w:noProof/>
            <w:webHidden/>
          </w:rPr>
          <w:t>25</w:t>
        </w:r>
        <w:r w:rsidR="001B7AB9">
          <w:rPr>
            <w:noProof/>
            <w:webHidden/>
          </w:rPr>
          <w:fldChar w:fldCharType="end"/>
        </w:r>
      </w:hyperlink>
    </w:p>
    <w:p w:rsidR="001B7AB9" w:rsidRDefault="00C83EF3">
      <w:pPr>
        <w:pStyle w:val="TOC2"/>
        <w:rPr>
          <w:rFonts w:asciiTheme="minorHAnsi" w:eastAsiaTheme="minorEastAsia" w:hAnsiTheme="minorHAnsi" w:cstheme="minorBidi"/>
          <w:noProof/>
          <w:szCs w:val="22"/>
        </w:rPr>
      </w:pPr>
      <w:hyperlink w:anchor="_Toc454836353" w:history="1">
        <w:r w:rsidR="001B7AB9" w:rsidRPr="003E732F">
          <w:rPr>
            <w:rStyle w:val="Hyperlink"/>
            <w:noProof/>
          </w:rPr>
          <w:t>9.2</w:t>
        </w:r>
        <w:r w:rsidR="001B7AB9">
          <w:rPr>
            <w:rFonts w:asciiTheme="minorHAnsi" w:eastAsiaTheme="minorEastAsia" w:hAnsiTheme="minorHAnsi" w:cstheme="minorBidi"/>
            <w:noProof/>
            <w:szCs w:val="22"/>
          </w:rPr>
          <w:tab/>
        </w:r>
        <w:r w:rsidR="001B7AB9" w:rsidRPr="003E732F">
          <w:rPr>
            <w:rStyle w:val="Hyperlink"/>
            <w:noProof/>
          </w:rPr>
          <w:t>Démographie des salariés</w:t>
        </w:r>
        <w:r w:rsidR="001B7AB9">
          <w:rPr>
            <w:noProof/>
            <w:webHidden/>
          </w:rPr>
          <w:tab/>
        </w:r>
        <w:r w:rsidR="001B7AB9">
          <w:rPr>
            <w:noProof/>
            <w:webHidden/>
          </w:rPr>
          <w:fldChar w:fldCharType="begin"/>
        </w:r>
        <w:r w:rsidR="001B7AB9">
          <w:rPr>
            <w:noProof/>
            <w:webHidden/>
          </w:rPr>
          <w:instrText xml:space="preserve"> PAGEREF _Toc454836353 \h </w:instrText>
        </w:r>
        <w:r w:rsidR="001B7AB9">
          <w:rPr>
            <w:noProof/>
            <w:webHidden/>
          </w:rPr>
        </w:r>
        <w:r w:rsidR="001B7AB9">
          <w:rPr>
            <w:noProof/>
            <w:webHidden/>
          </w:rPr>
          <w:fldChar w:fldCharType="separate"/>
        </w:r>
        <w:r w:rsidR="00BE2688">
          <w:rPr>
            <w:noProof/>
            <w:webHidden/>
          </w:rPr>
          <w:t>25</w:t>
        </w:r>
        <w:r w:rsidR="001B7AB9">
          <w:rPr>
            <w:noProof/>
            <w:webHidden/>
          </w:rPr>
          <w:fldChar w:fldCharType="end"/>
        </w:r>
      </w:hyperlink>
    </w:p>
    <w:p w:rsidR="001B7AB9" w:rsidRDefault="00C83EF3">
      <w:pPr>
        <w:pStyle w:val="TOC3"/>
        <w:rPr>
          <w:rFonts w:asciiTheme="minorHAnsi" w:eastAsiaTheme="minorEastAsia" w:hAnsiTheme="minorHAnsi" w:cstheme="minorBidi"/>
          <w:noProof/>
          <w:szCs w:val="22"/>
        </w:rPr>
      </w:pPr>
      <w:hyperlink w:anchor="_Toc454836354" w:history="1">
        <w:r w:rsidR="001B7AB9" w:rsidRPr="003E732F">
          <w:rPr>
            <w:rStyle w:val="Hyperlink"/>
            <w:noProof/>
          </w:rPr>
          <w:t>9.2.1</w:t>
        </w:r>
        <w:r w:rsidR="001B7AB9">
          <w:rPr>
            <w:rFonts w:asciiTheme="minorHAnsi" w:eastAsiaTheme="minorEastAsia" w:hAnsiTheme="minorHAnsi" w:cstheme="minorBidi"/>
            <w:noProof/>
            <w:szCs w:val="22"/>
          </w:rPr>
          <w:tab/>
        </w:r>
        <w:r w:rsidR="001B7AB9" w:rsidRPr="003E732F">
          <w:rPr>
            <w:rStyle w:val="Hyperlink"/>
            <w:noProof/>
          </w:rPr>
          <w:t>Nombre d’emploi par taille d’entreprise</w:t>
        </w:r>
        <w:r w:rsidR="001B7AB9">
          <w:rPr>
            <w:noProof/>
            <w:webHidden/>
          </w:rPr>
          <w:tab/>
        </w:r>
        <w:r w:rsidR="001B7AB9">
          <w:rPr>
            <w:noProof/>
            <w:webHidden/>
          </w:rPr>
          <w:fldChar w:fldCharType="begin"/>
        </w:r>
        <w:r w:rsidR="001B7AB9">
          <w:rPr>
            <w:noProof/>
            <w:webHidden/>
          </w:rPr>
          <w:instrText xml:space="preserve"> PAGEREF _Toc454836354 \h </w:instrText>
        </w:r>
        <w:r w:rsidR="001B7AB9">
          <w:rPr>
            <w:noProof/>
            <w:webHidden/>
          </w:rPr>
        </w:r>
        <w:r w:rsidR="001B7AB9">
          <w:rPr>
            <w:noProof/>
            <w:webHidden/>
          </w:rPr>
          <w:fldChar w:fldCharType="separate"/>
        </w:r>
        <w:r w:rsidR="00BE2688">
          <w:rPr>
            <w:noProof/>
            <w:webHidden/>
          </w:rPr>
          <w:t>25</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55" w:history="1">
        <w:r w:rsidR="001B7AB9" w:rsidRPr="003E732F">
          <w:rPr>
            <w:rStyle w:val="Hyperlink"/>
            <w:noProof/>
          </w:rPr>
          <w:t>10</w:t>
        </w:r>
        <w:r w:rsidR="001B7AB9">
          <w:rPr>
            <w:rFonts w:asciiTheme="minorHAnsi" w:eastAsiaTheme="minorEastAsia" w:hAnsiTheme="minorHAnsi" w:cstheme="minorBidi"/>
            <w:noProof/>
            <w:szCs w:val="22"/>
          </w:rPr>
          <w:tab/>
        </w:r>
        <w:r w:rsidR="001B7AB9" w:rsidRPr="003E732F">
          <w:rPr>
            <w:rStyle w:val="Hyperlink"/>
            <w:noProof/>
          </w:rPr>
          <w:t>Forces, Faiblesses, Opportunités et Menaces (SWOT)</w:t>
        </w:r>
        <w:r w:rsidR="001B7AB9">
          <w:rPr>
            <w:noProof/>
            <w:webHidden/>
          </w:rPr>
          <w:tab/>
        </w:r>
        <w:r w:rsidR="001B7AB9">
          <w:rPr>
            <w:noProof/>
            <w:webHidden/>
          </w:rPr>
          <w:fldChar w:fldCharType="begin"/>
        </w:r>
        <w:r w:rsidR="001B7AB9">
          <w:rPr>
            <w:noProof/>
            <w:webHidden/>
          </w:rPr>
          <w:instrText xml:space="preserve"> PAGEREF _Toc454836355 \h </w:instrText>
        </w:r>
        <w:r w:rsidR="001B7AB9">
          <w:rPr>
            <w:noProof/>
            <w:webHidden/>
          </w:rPr>
        </w:r>
        <w:r w:rsidR="001B7AB9">
          <w:rPr>
            <w:noProof/>
            <w:webHidden/>
          </w:rPr>
          <w:fldChar w:fldCharType="separate"/>
        </w:r>
        <w:r w:rsidR="00BE2688">
          <w:rPr>
            <w:noProof/>
            <w:webHidden/>
          </w:rPr>
          <w:t>30</w:t>
        </w:r>
        <w:r w:rsidR="001B7AB9">
          <w:rPr>
            <w:noProof/>
            <w:webHidden/>
          </w:rPr>
          <w:fldChar w:fldCharType="end"/>
        </w:r>
      </w:hyperlink>
    </w:p>
    <w:p w:rsidR="001B7AB9" w:rsidRDefault="00C83EF3">
      <w:pPr>
        <w:pStyle w:val="TOC1"/>
        <w:rPr>
          <w:rFonts w:asciiTheme="minorHAnsi" w:eastAsiaTheme="minorEastAsia" w:hAnsiTheme="minorHAnsi" w:cstheme="minorBidi"/>
          <w:noProof/>
          <w:szCs w:val="22"/>
        </w:rPr>
      </w:pPr>
      <w:hyperlink w:anchor="_Toc454836356" w:history="1">
        <w:r w:rsidR="001B7AB9" w:rsidRPr="003E732F">
          <w:rPr>
            <w:rStyle w:val="Hyperlink"/>
            <w:noProof/>
          </w:rPr>
          <w:t>Conclusion prospective</w:t>
        </w:r>
        <w:r w:rsidR="001B7AB9">
          <w:rPr>
            <w:noProof/>
            <w:webHidden/>
          </w:rPr>
          <w:tab/>
        </w:r>
        <w:r w:rsidR="001B7AB9">
          <w:rPr>
            <w:noProof/>
            <w:webHidden/>
          </w:rPr>
          <w:fldChar w:fldCharType="begin"/>
        </w:r>
        <w:r w:rsidR="001B7AB9">
          <w:rPr>
            <w:noProof/>
            <w:webHidden/>
          </w:rPr>
          <w:instrText xml:space="preserve"> PAGEREF _Toc454836356 \h </w:instrText>
        </w:r>
        <w:r w:rsidR="001B7AB9">
          <w:rPr>
            <w:noProof/>
            <w:webHidden/>
          </w:rPr>
        </w:r>
        <w:r w:rsidR="001B7AB9">
          <w:rPr>
            <w:noProof/>
            <w:webHidden/>
          </w:rPr>
          <w:fldChar w:fldCharType="separate"/>
        </w:r>
        <w:r w:rsidR="00BE2688">
          <w:rPr>
            <w:noProof/>
            <w:webHidden/>
          </w:rPr>
          <w:t>31</w:t>
        </w:r>
        <w:r w:rsidR="001B7AB9">
          <w:rPr>
            <w:noProof/>
            <w:webHidden/>
          </w:rPr>
          <w:fldChar w:fldCharType="end"/>
        </w:r>
      </w:hyperlink>
    </w:p>
    <w:p w:rsidR="004443D6" w:rsidRDefault="00567BB5" w:rsidP="005A1115">
      <w:r w:rsidRPr="00D22E0C">
        <w:rPr>
          <w:sz w:val="6"/>
          <w:szCs w:val="12"/>
        </w:rPr>
        <w:fldChar w:fldCharType="end"/>
      </w:r>
      <w:r w:rsidR="00A90873">
        <w:rPr>
          <w:sz w:val="6"/>
          <w:szCs w:val="12"/>
        </w:rPr>
        <w:t xml:space="preserve"> </w:t>
      </w:r>
    </w:p>
    <w:p w:rsidR="004443D6" w:rsidRDefault="00FC4333" w:rsidP="005A1115">
      <w:pPr>
        <w:pStyle w:val="Heading1"/>
        <w:numPr>
          <w:ilvl w:val="0"/>
          <w:numId w:val="0"/>
        </w:numPr>
      </w:pPr>
      <w:bookmarkStart w:id="6" w:name="_Toc454836324"/>
      <w:r>
        <w:lastRenderedPageBreak/>
        <w:t>Résumé exécutif</w:t>
      </w:r>
      <w:bookmarkEnd w:id="6"/>
      <w:r>
        <w:t xml:space="preserve"> </w:t>
      </w:r>
      <w:r w:rsidR="009E6B17" w:rsidRPr="009E6B17">
        <w:t xml:space="preserve"> </w:t>
      </w:r>
    </w:p>
    <w:p w:rsidR="007062A0" w:rsidRDefault="006F3B24" w:rsidP="007062A0">
      <w:pPr>
        <w:pStyle w:val="Heading2"/>
        <w:numPr>
          <w:ilvl w:val="0"/>
          <w:numId w:val="0"/>
        </w:numPr>
        <w:ind w:left="578"/>
      </w:pPr>
      <w:bookmarkStart w:id="7" w:name="_Toc454836325"/>
      <w:r>
        <w:t>C</w:t>
      </w:r>
      <w:r w:rsidR="007062A0">
        <w:t>adre de l’analyse</w:t>
      </w:r>
      <w:bookmarkEnd w:id="7"/>
      <w:r w:rsidR="007062A0">
        <w:t xml:space="preserve"> </w:t>
      </w:r>
    </w:p>
    <w:p w:rsidR="008C1569" w:rsidRDefault="00BD028D" w:rsidP="00BD028D">
      <w:pPr>
        <w:rPr>
          <w:noProof/>
        </w:rPr>
      </w:pPr>
      <w:r w:rsidRPr="00125F21">
        <w:rPr>
          <w:noProof/>
        </w:rPr>
        <w:t>Dans les secteurs de</w:t>
      </w:r>
      <w:r w:rsidR="008C1569">
        <w:rPr>
          <w:noProof/>
        </w:rPr>
        <w:t>s</w:t>
      </w:r>
      <w:r w:rsidRPr="00125F21">
        <w:rPr>
          <w:noProof/>
        </w:rPr>
        <w:t xml:space="preserve"> service</w:t>
      </w:r>
      <w:r w:rsidR="008C1569">
        <w:rPr>
          <w:noProof/>
        </w:rPr>
        <w:t>s liés à l’information</w:t>
      </w:r>
      <w:r w:rsidRPr="00125F21">
        <w:rPr>
          <w:noProof/>
        </w:rPr>
        <w:t>, on trouve</w:t>
      </w:r>
      <w:r w:rsidR="008C1569">
        <w:rPr>
          <w:noProof/>
        </w:rPr>
        <w:t xml:space="preserve"> : </w:t>
      </w:r>
    </w:p>
    <w:p w:rsidR="008C1569" w:rsidRDefault="00BD028D" w:rsidP="008C1569">
      <w:pPr>
        <w:pStyle w:val="ListParagraph"/>
        <w:numPr>
          <w:ilvl w:val="0"/>
          <w:numId w:val="23"/>
        </w:numPr>
        <w:rPr>
          <w:noProof/>
        </w:rPr>
      </w:pPr>
      <w:r>
        <w:rPr>
          <w:noProof/>
        </w:rPr>
        <w:t>d</w:t>
      </w:r>
      <w:r w:rsidRPr="00125F21">
        <w:rPr>
          <w:noProof/>
        </w:rPr>
        <w:t xml:space="preserve">es services </w:t>
      </w:r>
      <w:r w:rsidR="008C1569">
        <w:rPr>
          <w:noProof/>
        </w:rPr>
        <w:t>de</w:t>
      </w:r>
      <w:r w:rsidRPr="00125F21">
        <w:rPr>
          <w:noProof/>
        </w:rPr>
        <w:t xml:space="preserve"> production de l’information (médias et autres sources d’information), </w:t>
      </w:r>
    </w:p>
    <w:p w:rsidR="008C1569" w:rsidRDefault="00BD028D" w:rsidP="008C1569">
      <w:pPr>
        <w:pStyle w:val="ListParagraph"/>
        <w:numPr>
          <w:ilvl w:val="0"/>
          <w:numId w:val="23"/>
        </w:numPr>
        <w:rPr>
          <w:noProof/>
        </w:rPr>
      </w:pPr>
      <w:r w:rsidRPr="00125F21">
        <w:rPr>
          <w:noProof/>
        </w:rPr>
        <w:t xml:space="preserve">des services </w:t>
      </w:r>
      <w:r w:rsidR="008C1569">
        <w:rPr>
          <w:noProof/>
        </w:rPr>
        <w:t>de</w:t>
      </w:r>
      <w:r w:rsidRPr="00125F21">
        <w:rPr>
          <w:noProof/>
        </w:rPr>
        <w:t xml:space="preserve"> traitements de l’information (informatique)</w:t>
      </w:r>
      <w:r w:rsidR="008C1569">
        <w:rPr>
          <w:noProof/>
        </w:rPr>
        <w:t xml:space="preserve">, </w:t>
      </w:r>
    </w:p>
    <w:p w:rsidR="008C1569" w:rsidRDefault="00BD028D" w:rsidP="008C1569">
      <w:pPr>
        <w:pStyle w:val="ListParagraph"/>
        <w:numPr>
          <w:ilvl w:val="0"/>
          <w:numId w:val="23"/>
        </w:numPr>
        <w:rPr>
          <w:noProof/>
        </w:rPr>
      </w:pPr>
      <w:r w:rsidRPr="00125F21">
        <w:rPr>
          <w:noProof/>
        </w:rPr>
        <w:t xml:space="preserve">des services liés à la transmission de ses informations (télécommunications). </w:t>
      </w:r>
    </w:p>
    <w:p w:rsidR="008C1569" w:rsidRDefault="00BD028D" w:rsidP="007A7C91">
      <w:pPr>
        <w:rPr>
          <w:noProof/>
        </w:rPr>
      </w:pPr>
      <w:r w:rsidRPr="00125F21">
        <w:rPr>
          <w:noProof/>
        </w:rPr>
        <w:t xml:space="preserve">On s’intéresse ici aux services informatiques qui sont classés dans la division 62 de la NAF. Cette division regroupe 4 classes de secteurs : </w:t>
      </w:r>
    </w:p>
    <w:p w:rsidR="008C1569" w:rsidRDefault="00BD028D" w:rsidP="008C1569">
      <w:pPr>
        <w:pStyle w:val="ListParagraph"/>
        <w:numPr>
          <w:ilvl w:val="0"/>
          <w:numId w:val="23"/>
        </w:numPr>
        <w:rPr>
          <w:noProof/>
        </w:rPr>
      </w:pPr>
      <w:r w:rsidRPr="00125F21">
        <w:rPr>
          <w:noProof/>
        </w:rPr>
        <w:t xml:space="preserve">62.01 Programmation informatique, </w:t>
      </w:r>
    </w:p>
    <w:p w:rsidR="008C1569" w:rsidRDefault="00BD028D" w:rsidP="008C1569">
      <w:pPr>
        <w:pStyle w:val="ListParagraph"/>
        <w:numPr>
          <w:ilvl w:val="0"/>
          <w:numId w:val="23"/>
        </w:numPr>
        <w:rPr>
          <w:noProof/>
        </w:rPr>
      </w:pPr>
      <w:r w:rsidRPr="00125F21">
        <w:rPr>
          <w:noProof/>
        </w:rPr>
        <w:t xml:space="preserve">62.02 Conseil informatique, </w:t>
      </w:r>
    </w:p>
    <w:p w:rsidR="008C1569" w:rsidRDefault="00BD028D" w:rsidP="008C1569">
      <w:pPr>
        <w:pStyle w:val="ListParagraph"/>
        <w:numPr>
          <w:ilvl w:val="0"/>
          <w:numId w:val="23"/>
        </w:numPr>
        <w:rPr>
          <w:noProof/>
        </w:rPr>
      </w:pPr>
      <w:r w:rsidRPr="00125F21">
        <w:rPr>
          <w:noProof/>
        </w:rPr>
        <w:t>62.03 Gestion d'installations informatiques</w:t>
      </w:r>
      <w:r w:rsidR="008C1569">
        <w:rPr>
          <w:noProof/>
        </w:rPr>
        <w:t xml:space="preserve">, </w:t>
      </w:r>
    </w:p>
    <w:p w:rsidR="008C1569" w:rsidRDefault="00BD028D" w:rsidP="008C1569">
      <w:pPr>
        <w:pStyle w:val="ListParagraph"/>
        <w:numPr>
          <w:ilvl w:val="0"/>
          <w:numId w:val="23"/>
        </w:numPr>
        <w:rPr>
          <w:noProof/>
        </w:rPr>
      </w:pPr>
      <w:r w:rsidRPr="00125F21">
        <w:rPr>
          <w:noProof/>
        </w:rPr>
        <w:t xml:space="preserve">62.09 Autres activités informatiques. </w:t>
      </w:r>
    </w:p>
    <w:p w:rsidR="009216B8" w:rsidRDefault="00BD028D" w:rsidP="007A7C91">
      <w:pPr>
        <w:rPr>
          <w:noProof/>
        </w:rPr>
      </w:pPr>
      <w:r w:rsidRPr="00125F21">
        <w:rPr>
          <w:noProof/>
        </w:rPr>
        <w:t xml:space="preserve">Le secteur 62.02A occupe une place plus importante aujourd’hui dans la phase de transformation numérique car les entreprises sont en train de mettre en place leurs systèmes d’information informatisés qui n’existaient </w:t>
      </w:r>
      <w:r w:rsidR="008C1569">
        <w:rPr>
          <w:noProof/>
        </w:rPr>
        <w:t>pas avant. Le deuxième secteur 62.02B</w:t>
      </w:r>
      <w:r w:rsidRPr="00125F21">
        <w:rPr>
          <w:noProof/>
        </w:rPr>
        <w:t xml:space="preserve"> s’intéresse à des systèmes d’informations déjà existants. Nous nous sommes intéressés donc au secteur 62.02A de conseil en systèmes et logiciels informatique.</w:t>
      </w:r>
      <w:r w:rsidR="008C1569">
        <w:rPr>
          <w:noProof/>
        </w:rPr>
        <w:t xml:space="preserve"> </w:t>
      </w:r>
    </w:p>
    <w:p w:rsidR="00481344" w:rsidRDefault="00481344" w:rsidP="007A7C91">
      <w:r>
        <w:t>Les services de conseils en informatiques sont caractérisés par des relations de longs termes avec les clients. Les entreprises de conseils doivent être référencées chez les acheteurs pour espérer décrocher un contrat de service. Il est difficile d’être référencé car d’abord il faut avoir une bonne réputation. Mais dès qu’une société de service est référencée chez un client comme sous-traitant, il devient difficile pour ce client de la changer. En effet, lorsque les ESN commencent à connaitre le système d’information et les processus métier du client et maitrisent ses technologies et son architecture, alors il devient difficile de les remplacer car ce sont des référents et le fait de les remplacer signifie qu’il faudrait subir le coût de formation du nouveau sous-traitant. Dans la réalité</w:t>
      </w:r>
      <w:r w:rsidR="0055373E">
        <w:t>,</w:t>
      </w:r>
      <w:r>
        <w:t xml:space="preserve"> ce sont les consultants qui connaissent le système d’information du client. La vraie valeur ajoutée de la société de conseil est sa capacité à organiser, à capitaliser les connaissances et à coordonner les différentes prestations de services de domaines différents des technologies de l’information pour garantir la réussite du projet informatique de leurs clients. </w:t>
      </w:r>
    </w:p>
    <w:p w:rsidR="00481344" w:rsidRDefault="00481344" w:rsidP="00481344">
      <w:r>
        <w:t xml:space="preserve">La sensibilité sur les prix dépend des segments des clients. En effet, les clients du secteur de la finance tirent les prix vers le haut alors que les clients de la grande distribution et de transport préfèrent des prix plus bas. </w:t>
      </w:r>
    </w:p>
    <w:p w:rsidR="00481344" w:rsidRDefault="00481344" w:rsidP="007A7C91">
      <w:pPr>
        <w:rPr>
          <w:noProof/>
        </w:rPr>
      </w:pPr>
      <w:r>
        <w:t xml:space="preserve">Généralement les DSI des clients veulent optimiser leurs coûts informatiques et dans ce coût il y a une composante importante pour les prestations de service de conseil. Pour répondre à ce besoin, les ESN doivent baisser leur prix de prestation mais comme les menaces des consultants de partir sont crédibles, ces ESN voient leurs marges diminuer. Pour améliorer leurs résultats, elles doivent s’organiser avec des méthodes agiles et </w:t>
      </w:r>
      <w:r w:rsidR="00404DB7">
        <w:t>Lean</w:t>
      </w:r>
      <w:r>
        <w:t xml:space="preserve"> pour baisser les coûts. De plus ils misent sur des stratégies RH pour attirer et fidéliser les consultants.</w:t>
      </w:r>
      <w:r w:rsidR="00404DB7">
        <w:t xml:space="preserve"> </w:t>
      </w:r>
    </w:p>
    <w:p w:rsidR="00681F75" w:rsidRDefault="00681F75" w:rsidP="00681F75">
      <w:pPr>
        <w:pStyle w:val="Heading2"/>
        <w:numPr>
          <w:ilvl w:val="0"/>
          <w:numId w:val="0"/>
        </w:numPr>
        <w:ind w:left="578"/>
      </w:pPr>
      <w:bookmarkStart w:id="8" w:name="_Toc454836326"/>
      <w:r>
        <w:lastRenderedPageBreak/>
        <w:t>La demande</w:t>
      </w:r>
      <w:bookmarkEnd w:id="8"/>
      <w:r>
        <w:t xml:space="preserve"> </w:t>
      </w:r>
    </w:p>
    <w:p w:rsidR="008C1569" w:rsidRDefault="008C1569" w:rsidP="00E52891">
      <w:r>
        <w:t>L</w:t>
      </w:r>
      <w:r w:rsidRPr="008C4FD6">
        <w:t xml:space="preserve">e marché du secteur conseil en systèmes et logiciels informatique (6202A) en France est de </w:t>
      </w:r>
      <w:r w:rsidRPr="006F3B24">
        <w:rPr>
          <w:b/>
          <w:bCs/>
        </w:rPr>
        <w:t>30 milliard d'euro en 2014</w:t>
      </w:r>
      <w:r w:rsidRPr="008C4FD6">
        <w:t xml:space="preserve">. Ce marché représente 50% du marché des services informatique, 20% du marché des TIC et </w:t>
      </w:r>
      <w:r w:rsidR="00E52891">
        <w:t>1</w:t>
      </w:r>
      <w:r w:rsidRPr="008C4FD6">
        <w:t>% du PIB avec un</w:t>
      </w:r>
      <w:r w:rsidR="006F3B24">
        <w:t xml:space="preserve"> </w:t>
      </w:r>
      <w:r w:rsidR="006F3B24" w:rsidRPr="006F3B24">
        <w:rPr>
          <w:b/>
          <w:bCs/>
        </w:rPr>
        <w:t>taux</w:t>
      </w:r>
      <w:r w:rsidRPr="006F3B24">
        <w:rPr>
          <w:b/>
          <w:bCs/>
        </w:rPr>
        <w:t xml:space="preserve"> croissance annuelle moyen de 6,5 % depuis 1995</w:t>
      </w:r>
      <w:r>
        <w:t>.</w:t>
      </w:r>
      <w:r w:rsidR="006F3B24">
        <w:t xml:space="preserve"> </w:t>
      </w:r>
    </w:p>
    <w:p w:rsidR="008C1569" w:rsidRDefault="008C1569" w:rsidP="008C1569">
      <w:r w:rsidRPr="008C4FD6">
        <w:t xml:space="preserve">Dans un contexte de transformation digitale de l'économie, les entreprises de ce secteur s’adressent à l'ensemble des autres secteurs d'activité où les clients sont de tailles différentes. Les principaux clients sont : </w:t>
      </w:r>
    </w:p>
    <w:p w:rsidR="008C1569" w:rsidRPr="008C1569" w:rsidRDefault="0055373E" w:rsidP="008C1569">
      <w:pPr>
        <w:pStyle w:val="ListParagraph"/>
        <w:numPr>
          <w:ilvl w:val="0"/>
          <w:numId w:val="23"/>
        </w:numPr>
      </w:pPr>
      <w:r w:rsidRPr="008C1569">
        <w:rPr>
          <w:rFonts w:eastAsia="Calibri"/>
        </w:rPr>
        <w:t>Les</w:t>
      </w:r>
      <w:r w:rsidR="008C1569" w:rsidRPr="008C1569">
        <w:rPr>
          <w:rFonts w:eastAsia="Calibri"/>
        </w:rPr>
        <w:t xml:space="preserve"> banques et les assurances, </w:t>
      </w:r>
    </w:p>
    <w:p w:rsidR="008C1569" w:rsidRDefault="0055373E" w:rsidP="008C1569">
      <w:pPr>
        <w:pStyle w:val="ListParagraph"/>
        <w:numPr>
          <w:ilvl w:val="0"/>
          <w:numId w:val="23"/>
        </w:numPr>
      </w:pPr>
      <w:r w:rsidRPr="008C4FD6">
        <w:t>Le</w:t>
      </w:r>
      <w:r w:rsidR="008C1569" w:rsidRPr="008C4FD6">
        <w:t xml:space="preserve"> secteur public, </w:t>
      </w:r>
    </w:p>
    <w:p w:rsidR="008C1569" w:rsidRDefault="0055373E" w:rsidP="008C1569">
      <w:pPr>
        <w:pStyle w:val="ListParagraph"/>
        <w:numPr>
          <w:ilvl w:val="0"/>
          <w:numId w:val="23"/>
        </w:numPr>
      </w:pPr>
      <w:r w:rsidRPr="008C4FD6">
        <w:t>L’industrie</w:t>
      </w:r>
      <w:r w:rsidR="008C1569" w:rsidRPr="008C4FD6">
        <w:t xml:space="preserve">, </w:t>
      </w:r>
    </w:p>
    <w:p w:rsidR="008C1569" w:rsidRDefault="0055373E" w:rsidP="008C1569">
      <w:pPr>
        <w:pStyle w:val="ListParagraph"/>
        <w:numPr>
          <w:ilvl w:val="0"/>
          <w:numId w:val="23"/>
        </w:numPr>
      </w:pPr>
      <w:r w:rsidRPr="008C4FD6">
        <w:t>Le</w:t>
      </w:r>
      <w:r w:rsidR="008C1569" w:rsidRPr="008C4FD6">
        <w:t xml:space="preserve"> commerce </w:t>
      </w:r>
      <w:r w:rsidR="008C1569">
        <w:t xml:space="preserve">de gros et de détail, </w:t>
      </w:r>
    </w:p>
    <w:p w:rsidR="008C1569" w:rsidRDefault="0055373E" w:rsidP="008C1569">
      <w:pPr>
        <w:pStyle w:val="ListParagraph"/>
        <w:numPr>
          <w:ilvl w:val="0"/>
          <w:numId w:val="23"/>
        </w:numPr>
      </w:pPr>
      <w:r>
        <w:t>Les</w:t>
      </w:r>
      <w:r w:rsidR="008C1569">
        <w:t xml:space="preserve"> télécoms,</w:t>
      </w:r>
      <w:r w:rsidR="008C1569" w:rsidRPr="008C4FD6">
        <w:t xml:space="preserve"> </w:t>
      </w:r>
    </w:p>
    <w:p w:rsidR="008C1569" w:rsidRDefault="0055373E" w:rsidP="008C1569">
      <w:pPr>
        <w:pStyle w:val="ListParagraph"/>
        <w:numPr>
          <w:ilvl w:val="0"/>
          <w:numId w:val="23"/>
        </w:numPr>
      </w:pPr>
      <w:r w:rsidRPr="008C4FD6">
        <w:t>L’énergie</w:t>
      </w:r>
      <w:r w:rsidR="008C1569" w:rsidRPr="008C4FD6">
        <w:t xml:space="preserve">. </w:t>
      </w:r>
    </w:p>
    <w:p w:rsidR="008C1569" w:rsidRDefault="008C1569" w:rsidP="007A7C91">
      <w:r w:rsidRPr="008C4FD6">
        <w:t xml:space="preserve">Le digital n’est pas seulement un ensemble de nouvelles technologies d’information et de communication mais aussi une nouvelle mentalité et de nouveaux usages qui transforment les processus d’approvisionnement, de production, de distribution et de consommation. </w:t>
      </w:r>
      <w:r w:rsidR="00681F75" w:rsidRPr="008C4FD6">
        <w:t xml:space="preserve">Ce contexte </w:t>
      </w:r>
      <w:r w:rsidR="00681F75">
        <w:t>favorable à la</w:t>
      </w:r>
      <w:r w:rsidR="00681F75" w:rsidRPr="008C4FD6">
        <w:t xml:space="preserve"> croissance est donc le résultat des nouveaux besoins liés d’une part aux nouvelles technologies de l’information : les </w:t>
      </w:r>
      <w:r w:rsidR="00681F75" w:rsidRPr="008C4FD6">
        <w:rPr>
          <w:b/>
          <w:bCs/>
        </w:rPr>
        <w:t>SMACS</w:t>
      </w:r>
      <w:r w:rsidR="00681F75" w:rsidRPr="008C4FD6">
        <w:t xml:space="preserve"> et d’autre part aux nouveaux usages comme le </w:t>
      </w:r>
      <w:r w:rsidR="00681F75" w:rsidRPr="008C4FD6">
        <w:rPr>
          <w:b/>
          <w:bCs/>
        </w:rPr>
        <w:t>DevOps</w:t>
      </w:r>
      <w:r w:rsidR="00681F75" w:rsidRPr="008C4FD6">
        <w:t xml:space="preserve">, les nouvelles formes </w:t>
      </w:r>
      <w:r w:rsidR="00681F75">
        <w:t xml:space="preserve">digitales </w:t>
      </w:r>
      <w:r w:rsidR="00681F75" w:rsidRPr="008C4FD6">
        <w:t>de gestion de relation client, d</w:t>
      </w:r>
      <w:r w:rsidR="00681F75">
        <w:t>e nouvelles méthodes de travail</w:t>
      </w:r>
      <w:r w:rsidRPr="008C4FD6">
        <w:t xml:space="preserve">. </w:t>
      </w:r>
    </w:p>
    <w:p w:rsidR="00681F75" w:rsidRDefault="00681F75" w:rsidP="00681F75">
      <w:pPr>
        <w:pStyle w:val="Heading2"/>
        <w:numPr>
          <w:ilvl w:val="0"/>
          <w:numId w:val="0"/>
        </w:numPr>
        <w:ind w:left="578"/>
      </w:pPr>
      <w:bookmarkStart w:id="9" w:name="_Toc454836327"/>
      <w:r>
        <w:t>Les structures</w:t>
      </w:r>
      <w:bookmarkEnd w:id="9"/>
      <w:r>
        <w:t xml:space="preserve"> </w:t>
      </w:r>
    </w:p>
    <w:p w:rsidR="00481344" w:rsidRDefault="006F3B24" w:rsidP="007A7C91">
      <w:r>
        <w:t>En France, c</w:t>
      </w:r>
      <w:r w:rsidR="00681F75" w:rsidRPr="008C4FD6">
        <w:t>e secteur</w:t>
      </w:r>
      <w:r w:rsidR="00681F75">
        <w:t xml:space="preserve"> est constitué de </w:t>
      </w:r>
      <w:r w:rsidR="00681F75" w:rsidRPr="006F3B24">
        <w:rPr>
          <w:b/>
          <w:bCs/>
        </w:rPr>
        <w:t>20 000 entreprises</w:t>
      </w:r>
      <w:r>
        <w:t xml:space="preserve"> et 38 000 établissements</w:t>
      </w:r>
      <w:r w:rsidR="00B21D74">
        <w:t>.</w:t>
      </w:r>
      <w:r w:rsidR="00681F75" w:rsidRPr="008C4FD6">
        <w:t xml:space="preserve"> </w:t>
      </w:r>
      <w:r w:rsidR="00B21D74">
        <w:t>L</w:t>
      </w:r>
      <w:r w:rsidR="00681F75" w:rsidRPr="008C4FD6">
        <w:t>a TMO</w:t>
      </w:r>
      <w:r w:rsidR="00681F75">
        <w:t xml:space="preserve">, </w:t>
      </w:r>
      <w:r w:rsidR="00681F75" w:rsidRPr="008C4FD6">
        <w:t>en 2014</w:t>
      </w:r>
      <w:r w:rsidR="00681F75">
        <w:t>,</w:t>
      </w:r>
      <w:r w:rsidR="00681F75" w:rsidRPr="008C4FD6">
        <w:t xml:space="preserve"> </w:t>
      </w:r>
      <w:r w:rsidR="00B21D74">
        <w:t>était</w:t>
      </w:r>
      <w:r w:rsidR="00681F75" w:rsidRPr="008C4FD6">
        <w:t xml:space="preserve"> autour de 160 millions d'euro</w:t>
      </w:r>
      <w:r w:rsidR="00681F75">
        <w:t xml:space="preserve"> de CA</w:t>
      </w:r>
      <w:r w:rsidR="00681F75" w:rsidRPr="008C4FD6">
        <w:t xml:space="preserve">. Cela </w:t>
      </w:r>
      <w:r w:rsidR="00681F75">
        <w:t xml:space="preserve">explique les nombreuses opérations de fusions et acquisitions observées mais le secteur reste peu concentré. En effet, </w:t>
      </w:r>
      <w:r w:rsidR="00481344">
        <w:t>e</w:t>
      </w:r>
      <w:r w:rsidR="00B21D74">
        <w:t>n 2014, le C4 était de 20%, le C100 était de 70% et le C500 était de 85%. L</w:t>
      </w:r>
      <w:r w:rsidR="00B21D74" w:rsidRPr="008C4FD6">
        <w:t>e premier quartile</w:t>
      </w:r>
      <w:r w:rsidR="00B21D74">
        <w:t xml:space="preserve"> (c'est-à-dire près de 5 000 entreprises),</w:t>
      </w:r>
      <w:r w:rsidR="00B21D74" w:rsidRPr="008C4FD6">
        <w:t xml:space="preserve"> partagent pratiquement tout le marché (99%).</w:t>
      </w:r>
      <w:r w:rsidR="00481344">
        <w:t xml:space="preserve"> L’IHH</w:t>
      </w:r>
      <w:r w:rsidR="00681F75">
        <w:t xml:space="preserve"> passe de 587 en 2004 à 168 en 2014. Cela s’explique par le fait que les barrières à l’entrée sont faibles et le marché qui est en croissance annuelle moyenne de 6,5%, attire les créations ex nihilo qui sont généralement des consultants indépendants et des </w:t>
      </w:r>
      <w:r w:rsidR="0055373E">
        <w:t>microentreprises</w:t>
      </w:r>
      <w:r w:rsidR="00681F75">
        <w:t xml:space="preserve">. </w:t>
      </w:r>
      <w:r w:rsidR="00481344">
        <w:t xml:space="preserve">En 2014, </w:t>
      </w:r>
      <w:r w:rsidR="00681F75">
        <w:t xml:space="preserve">91% des entreprises du secteur ont entre 1 et 49 salariés et emploient 14% de l’effectif global. Seulement 0,3 % des entreprises ont plus de 2000 salariés et emploient 44% de l’effectif. </w:t>
      </w:r>
    </w:p>
    <w:p w:rsidR="00481344" w:rsidRDefault="00681F75" w:rsidP="00B21D74">
      <w:r>
        <w:t xml:space="preserve">80% des entreprises sont </w:t>
      </w:r>
      <w:r w:rsidR="0055373E">
        <w:t>regroupées dans</w:t>
      </w:r>
      <w:r>
        <w:t xml:space="preserve"> 6 régions principales en France autour des pôles de compétitivité liés aux TIC et à la transformation digitale de l’économie.</w:t>
      </w:r>
      <w:r w:rsidR="00481344">
        <w:t xml:space="preserve"> Ces régions sont dans l’ordre d’importance : </w:t>
      </w:r>
    </w:p>
    <w:p w:rsidR="00481344" w:rsidRDefault="00481344" w:rsidP="00481344">
      <w:pPr>
        <w:pStyle w:val="ListParagraph"/>
        <w:numPr>
          <w:ilvl w:val="0"/>
          <w:numId w:val="23"/>
        </w:numPr>
      </w:pPr>
      <w:r>
        <w:t xml:space="preserve">Île-de-France, </w:t>
      </w:r>
    </w:p>
    <w:p w:rsidR="00481344" w:rsidRDefault="00481344" w:rsidP="00481344">
      <w:pPr>
        <w:pStyle w:val="ListParagraph"/>
        <w:numPr>
          <w:ilvl w:val="0"/>
          <w:numId w:val="23"/>
        </w:numPr>
      </w:pPr>
      <w:r>
        <w:t xml:space="preserve">Rhône-Alpes, </w:t>
      </w:r>
    </w:p>
    <w:p w:rsidR="00481344" w:rsidRDefault="00481344" w:rsidP="00481344">
      <w:pPr>
        <w:pStyle w:val="ListParagraph"/>
        <w:numPr>
          <w:ilvl w:val="0"/>
          <w:numId w:val="23"/>
        </w:numPr>
      </w:pPr>
      <w:r w:rsidRPr="00B53BF3">
        <w:t>Provence-Alpes-Côte d'Azur</w:t>
      </w:r>
      <w:r>
        <w:t xml:space="preserve">, </w:t>
      </w:r>
    </w:p>
    <w:p w:rsidR="00481344" w:rsidRDefault="00481344" w:rsidP="00481344">
      <w:pPr>
        <w:pStyle w:val="ListParagraph"/>
        <w:numPr>
          <w:ilvl w:val="0"/>
          <w:numId w:val="23"/>
        </w:numPr>
      </w:pPr>
      <w:r w:rsidRPr="00B53BF3">
        <w:t>Nord-Pas-de-Calais</w:t>
      </w:r>
      <w:r>
        <w:t xml:space="preserve">, </w:t>
      </w:r>
    </w:p>
    <w:p w:rsidR="00481344" w:rsidRDefault="00481344" w:rsidP="00481344">
      <w:pPr>
        <w:pStyle w:val="ListParagraph"/>
        <w:numPr>
          <w:ilvl w:val="0"/>
          <w:numId w:val="23"/>
        </w:numPr>
      </w:pPr>
      <w:r w:rsidRPr="00B53BF3">
        <w:t>Pays de la Loire</w:t>
      </w:r>
      <w:r>
        <w:t xml:space="preserve"> </w:t>
      </w:r>
    </w:p>
    <w:p w:rsidR="00481344" w:rsidRDefault="00481344" w:rsidP="00481344">
      <w:pPr>
        <w:pStyle w:val="ListParagraph"/>
        <w:numPr>
          <w:ilvl w:val="0"/>
          <w:numId w:val="23"/>
        </w:numPr>
      </w:pPr>
      <w:r w:rsidRPr="00B53BF3">
        <w:lastRenderedPageBreak/>
        <w:t>Midi-Pyrénées</w:t>
      </w:r>
      <w:r>
        <w:t xml:space="preserve">. </w:t>
      </w:r>
    </w:p>
    <w:p w:rsidR="00481344" w:rsidRDefault="00481344" w:rsidP="00481344">
      <w:r>
        <w:t xml:space="preserve">96% de l’effectif de ce secteur sont dans ces régions. La région de l’Île-de-France est la plus remarquable et regroupe 53% des établissements et 68% des effectifs autour des deux pôles de </w:t>
      </w:r>
      <w:r w:rsidR="0055373E">
        <w:t>compétitivité CAP</w:t>
      </w:r>
      <w:r>
        <w:t xml:space="preserve"> DIGITAL et SYSTEMATIC.</w:t>
      </w:r>
      <w:r w:rsidR="00404DB7">
        <w:t xml:space="preserve"> </w:t>
      </w:r>
    </w:p>
    <w:p w:rsidR="00BD028D" w:rsidRDefault="00404DB7" w:rsidP="007E36CA">
      <w:pPr>
        <w:pStyle w:val="Heading2"/>
        <w:numPr>
          <w:ilvl w:val="0"/>
          <w:numId w:val="0"/>
        </w:numPr>
        <w:ind w:left="578"/>
      </w:pPr>
      <w:bookmarkStart w:id="10" w:name="_Ref451822261"/>
      <w:bookmarkStart w:id="11" w:name="_Toc454836328"/>
      <w:r>
        <w:t>La concurrence</w:t>
      </w:r>
      <w:bookmarkEnd w:id="10"/>
      <w:bookmarkEnd w:id="11"/>
      <w:r>
        <w:t xml:space="preserve">  </w:t>
      </w:r>
    </w:p>
    <w:p w:rsidR="00404DB7" w:rsidRDefault="00404DB7" w:rsidP="00404DB7">
      <w:r>
        <w:t xml:space="preserve">Nous avons identifié cinq groupes stratégiques : </w:t>
      </w:r>
    </w:p>
    <w:p w:rsidR="00404DB7" w:rsidRDefault="00404DB7" w:rsidP="00F10C46">
      <w:pPr>
        <w:pStyle w:val="ListParagraph"/>
        <w:numPr>
          <w:ilvl w:val="0"/>
          <w:numId w:val="26"/>
        </w:numPr>
      </w:pPr>
      <w:r w:rsidRPr="008004AD">
        <w:rPr>
          <w:b/>
          <w:u w:val="single"/>
        </w:rPr>
        <w:t xml:space="preserve">Groupe des </w:t>
      </w:r>
      <w:r>
        <w:rPr>
          <w:b/>
          <w:u w:val="single"/>
        </w:rPr>
        <w:t xml:space="preserve">grands </w:t>
      </w:r>
      <w:r w:rsidRPr="008004AD">
        <w:rPr>
          <w:b/>
          <w:u w:val="single"/>
        </w:rPr>
        <w:t>généralistes</w:t>
      </w:r>
      <w:r w:rsidR="00F10C46">
        <w:t xml:space="preserve"> : ce </w:t>
      </w:r>
      <w:r>
        <w:t xml:space="preserve">sont des grandes entreprises qui cherchent à grandir encore et à s’installer dans plusieurs </w:t>
      </w:r>
      <w:r w:rsidR="00F10C46">
        <w:t>régions</w:t>
      </w:r>
      <w:r>
        <w:t xml:space="preserve">. Ces entreprises ont des logiques de stratégies de domination par les coûts. Elles essayent de mettre en œuvre leurs stratégies à travers un système d’organisation et de management </w:t>
      </w:r>
      <w:r w:rsidR="00F10C46">
        <w:t>A</w:t>
      </w:r>
      <w:r>
        <w:t xml:space="preserve">gile et </w:t>
      </w:r>
      <w:r w:rsidR="00F10C46">
        <w:t>L</w:t>
      </w:r>
      <w:r>
        <w:t xml:space="preserve">ean. Elles sous-traitent ponctuellement chez des entreprises des groupes des spécialistes et des experts ou bien chez leurs filiales à l’étranger pour les services standardisés pour bénéficier de main d’œuvre moins cher. </w:t>
      </w:r>
    </w:p>
    <w:p w:rsidR="00404DB7" w:rsidRDefault="00404DB7" w:rsidP="00404DB7">
      <w:pPr>
        <w:pStyle w:val="ListParagraph"/>
        <w:ind w:left="502"/>
      </w:pPr>
    </w:p>
    <w:p w:rsidR="00404DB7" w:rsidRDefault="00404DB7" w:rsidP="00F10C46">
      <w:pPr>
        <w:pStyle w:val="ListParagraph"/>
        <w:numPr>
          <w:ilvl w:val="0"/>
          <w:numId w:val="26"/>
        </w:numPr>
      </w:pPr>
      <w:r w:rsidRPr="008004AD">
        <w:rPr>
          <w:b/>
          <w:u w:val="single"/>
        </w:rPr>
        <w:t xml:space="preserve">Groupe des </w:t>
      </w:r>
      <w:r>
        <w:rPr>
          <w:b/>
          <w:u w:val="single"/>
        </w:rPr>
        <w:t xml:space="preserve">petits </w:t>
      </w:r>
      <w:r w:rsidRPr="008004AD">
        <w:rPr>
          <w:b/>
          <w:u w:val="single"/>
        </w:rPr>
        <w:t>généralistes</w:t>
      </w:r>
      <w:r w:rsidR="00F10C46">
        <w:t> :</w:t>
      </w:r>
      <w:r>
        <w:t xml:space="preserve"> ce sont des entreprises qui se positionnent sur plusieurs segments de la demande et plusieurs offres de services mais qui n’ont pas accès encore à des contrats grands comptes. Elles se différencient en se limitant à des clients de type PME/PMI. Ce sont des entreprises de taille intermédiaire qui suivent des stratégies mixte</w:t>
      </w:r>
      <w:r w:rsidR="00F10C46">
        <w:t>s</w:t>
      </w:r>
      <w:r>
        <w:t xml:space="preserve"> de différenciation sur quelques segments de clients et des stratégies d’optimisation de coût pour faire face aux problème de taux élevé de rotation de ses consultants. Ces entreprises commencent à grandir et sont sur le chemin des grandes entreprises du groupe des généralistes. </w:t>
      </w:r>
    </w:p>
    <w:p w:rsidR="00404DB7" w:rsidRDefault="00404DB7" w:rsidP="00404DB7">
      <w:pPr>
        <w:pStyle w:val="ListParagraph"/>
        <w:ind w:left="502"/>
      </w:pPr>
    </w:p>
    <w:p w:rsidR="00404DB7" w:rsidRDefault="00404DB7" w:rsidP="00F10C46">
      <w:pPr>
        <w:pStyle w:val="ListParagraph"/>
        <w:numPr>
          <w:ilvl w:val="0"/>
          <w:numId w:val="26"/>
        </w:numPr>
      </w:pPr>
      <w:r w:rsidRPr="008004AD">
        <w:rPr>
          <w:b/>
          <w:u w:val="single"/>
        </w:rPr>
        <w:t>Groupe des spécialistes métiers</w:t>
      </w:r>
      <w:r w:rsidR="00F10C46">
        <w:t> : ce sont des entreprises qui</w:t>
      </w:r>
      <w:r>
        <w:t xml:space="preserve"> offrent des services bien adaptés à un segment de clientèle. Ce sont des entreprises de taille moyenne et elles font la différence avec des consultants ayant une double compétence métier et technique. Elles essayent d’optimiser le temps de </w:t>
      </w:r>
      <w:r w:rsidRPr="007A57EF">
        <w:rPr>
          <w:i/>
          <w:iCs/>
        </w:rPr>
        <w:t>go-to-market</w:t>
      </w:r>
      <w:r>
        <w:t xml:space="preserve"> de nouvelles offres innovantes pour leurs clients. </w:t>
      </w:r>
    </w:p>
    <w:p w:rsidR="00404DB7" w:rsidRDefault="00404DB7" w:rsidP="00404DB7">
      <w:pPr>
        <w:pStyle w:val="ListParagraph"/>
        <w:ind w:left="502"/>
      </w:pPr>
    </w:p>
    <w:p w:rsidR="00404DB7" w:rsidRDefault="00404DB7" w:rsidP="00404DB7">
      <w:pPr>
        <w:pStyle w:val="ListParagraph"/>
        <w:numPr>
          <w:ilvl w:val="0"/>
          <w:numId w:val="26"/>
        </w:numPr>
      </w:pPr>
      <w:r w:rsidRPr="008004AD">
        <w:rPr>
          <w:b/>
          <w:u w:val="single"/>
        </w:rPr>
        <w:t>Groupe des experts techniques</w:t>
      </w:r>
      <w:r>
        <w:t xml:space="preserve"> qui donnent des services d’expertise dans un domaine technique très précis et qui peut être demandé par plusieurs segments de clients. Ce groupe est caractérisé par des entreprises de très petites tailles qui sont souvent des indépendants certifiés. </w:t>
      </w:r>
    </w:p>
    <w:p w:rsidR="00404DB7" w:rsidRDefault="00404DB7" w:rsidP="00404DB7">
      <w:pPr>
        <w:pStyle w:val="ListParagraph"/>
        <w:ind w:left="502"/>
      </w:pPr>
    </w:p>
    <w:p w:rsidR="00BD028D" w:rsidRDefault="00404DB7" w:rsidP="00F10C46">
      <w:pPr>
        <w:pStyle w:val="ListParagraph"/>
        <w:numPr>
          <w:ilvl w:val="0"/>
          <w:numId w:val="26"/>
        </w:numPr>
      </w:pPr>
      <w:r w:rsidRPr="00404DB7">
        <w:rPr>
          <w:b/>
          <w:u w:val="single"/>
        </w:rPr>
        <w:t>Groupe des talents</w:t>
      </w:r>
      <w:r w:rsidRPr="0057475A">
        <w:t xml:space="preserve"> </w:t>
      </w:r>
      <w:r w:rsidR="00F10C46">
        <w:t>qui</w:t>
      </w:r>
      <w:r>
        <w:t xml:space="preserve"> sont des entreprises qui se différencient en travaillant sur des sujets complexes et qui n’ont pas de solutions standards encore. Ce sont des petites entreprises ou bien des filiales de groupe de conseil en stratégie et qui créent des synergies entre le business consulting et l’IT consulting. Ils facturent très cher leurs prestations de service. Ils sélectionnent bien leurs consultants qui doivent être diplômés des plus grandes écoles et qui ont des certificats </w:t>
      </w:r>
      <w:r w:rsidRPr="00E23FD6">
        <w:t>professionnels (comme ITIL, PMP, ISTQB, SAP etc.)</w:t>
      </w:r>
      <w:r>
        <w:t xml:space="preserve"> </w:t>
      </w:r>
    </w:p>
    <w:p w:rsidR="00404DB7" w:rsidRDefault="00404DB7" w:rsidP="00404DB7">
      <w:pPr>
        <w:ind w:left="0"/>
      </w:pPr>
    </w:p>
    <w:p w:rsidR="00DF2E84" w:rsidRDefault="00DF2E84" w:rsidP="00404DB7">
      <w:pPr>
        <w:ind w:left="0"/>
      </w:pPr>
    </w:p>
    <w:p w:rsidR="00404DB7" w:rsidRPr="00C01913" w:rsidRDefault="00404DB7" w:rsidP="00814432">
      <w:pPr>
        <w:ind w:left="0"/>
      </w:pPr>
    </w:p>
    <w:p w:rsidR="00806CF3" w:rsidRDefault="00FC4333" w:rsidP="00464CB0">
      <w:pPr>
        <w:pStyle w:val="Heading1"/>
      </w:pPr>
      <w:bookmarkStart w:id="12" w:name="_Toc454836329"/>
      <w:r>
        <w:lastRenderedPageBreak/>
        <w:t>Définition de l’activit</w:t>
      </w:r>
      <w:r w:rsidR="00464CB0">
        <w:t>é</w:t>
      </w:r>
      <w:bookmarkEnd w:id="12"/>
    </w:p>
    <w:p w:rsidR="00595D47" w:rsidRDefault="00595D47" w:rsidP="00C60FE2">
      <w:pPr>
        <w:pStyle w:val="Heading2"/>
      </w:pPr>
      <w:bookmarkStart w:id="13" w:name="_Toc454836330"/>
      <w:r>
        <w:t>Définition du secteur</w:t>
      </w:r>
      <w:bookmarkEnd w:id="13"/>
      <w:r>
        <w:t xml:space="preserve"> </w:t>
      </w:r>
    </w:p>
    <w:p w:rsidR="00595D47" w:rsidRDefault="004D6418" w:rsidP="00F10C46">
      <w:pPr>
        <w:jc w:val="center"/>
      </w:pPr>
      <w:r w:rsidRPr="004D6418">
        <w:rPr>
          <w:noProof/>
        </w:rPr>
        <w:drawing>
          <wp:inline distT="0" distB="0" distL="0" distR="0">
            <wp:extent cx="5955792" cy="1744980"/>
            <wp:effectExtent l="0" t="0" r="0" b="762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A1D0D" w:rsidRPr="00D722A9" w:rsidRDefault="004D6418" w:rsidP="007A7C91">
      <w:pPr>
        <w:ind w:left="0"/>
        <w:rPr>
          <w:szCs w:val="22"/>
        </w:rPr>
      </w:pPr>
      <w:r w:rsidRPr="00C22AEB">
        <w:rPr>
          <w:szCs w:val="22"/>
        </w:rPr>
        <w:t xml:space="preserve">Selon la </w:t>
      </w:r>
      <w:r w:rsidR="00D722A9">
        <w:rPr>
          <w:szCs w:val="22"/>
        </w:rPr>
        <w:t>NAF</w:t>
      </w:r>
      <w:r w:rsidRPr="00C22AEB">
        <w:rPr>
          <w:szCs w:val="22"/>
        </w:rPr>
        <w:t xml:space="preserve"> de l’INSEE, le secteur 62.02A regroupe plusieurs activités liées aux systèmes d’information comme la planification, la conception (études et conseil), l’intégration, l’audit</w:t>
      </w:r>
      <w:r>
        <w:rPr>
          <w:szCs w:val="22"/>
        </w:rPr>
        <w:t xml:space="preserve"> et</w:t>
      </w:r>
      <w:r w:rsidRPr="00C22AEB">
        <w:rPr>
          <w:szCs w:val="22"/>
        </w:rPr>
        <w:t xml:space="preserve"> la formation. </w:t>
      </w:r>
      <w:r w:rsidR="00EA1D0D">
        <w:t xml:space="preserve">La sous-classe 6202A comprend : </w:t>
      </w:r>
    </w:p>
    <w:p w:rsidR="00EA1D0D" w:rsidRDefault="00EA1D0D" w:rsidP="00EA1D0D">
      <w:pPr>
        <w:pStyle w:val="ListParagraph"/>
        <w:numPr>
          <w:ilvl w:val="0"/>
          <w:numId w:val="26"/>
        </w:numPr>
      </w:pPr>
      <w:r>
        <w:t xml:space="preserve">La planification et la conception (études, conseil) de systèmes informatiques intégrant les technologies du matériel, des logiciels et des communications. Les services peuvent comprendre la formation des utilisateurs concernés. </w:t>
      </w:r>
    </w:p>
    <w:p w:rsidR="004D6418" w:rsidRDefault="00EA1D0D" w:rsidP="00EA1D0D">
      <w:pPr>
        <w:pStyle w:val="ListParagraph"/>
        <w:numPr>
          <w:ilvl w:val="0"/>
          <w:numId w:val="26"/>
        </w:numPr>
      </w:pPr>
      <w:r>
        <w:t>L</w:t>
      </w:r>
      <w:r w:rsidRPr="00EA1D0D">
        <w:t>e conseil en développement logiciel personnalisé : analyse des besoins et des problèmes des utilisateurs, formulation de propositions de solutions</w:t>
      </w:r>
    </w:p>
    <w:p w:rsidR="00D722A9" w:rsidRDefault="00EA1D0D" w:rsidP="007A7C91">
      <w:pPr>
        <w:ind w:left="0"/>
        <w:rPr>
          <w:szCs w:val="22"/>
        </w:rPr>
      </w:pPr>
      <w:r>
        <w:rPr>
          <w:szCs w:val="22"/>
        </w:rPr>
        <w:t>Selon la définition des CPF de l’INSEE</w:t>
      </w:r>
      <w:r w:rsidR="00D722A9">
        <w:rPr>
          <w:szCs w:val="22"/>
        </w:rPr>
        <w:t xml:space="preserve">, </w:t>
      </w:r>
      <w:r w:rsidR="004D6418" w:rsidRPr="00C22AEB">
        <w:rPr>
          <w:szCs w:val="22"/>
        </w:rPr>
        <w:t xml:space="preserve">les catégories des services de ce secteur </w:t>
      </w:r>
      <w:r w:rsidR="00D722A9">
        <w:rPr>
          <w:szCs w:val="22"/>
        </w:rPr>
        <w:t xml:space="preserve">sont </w:t>
      </w:r>
      <w:r w:rsidR="004D6418" w:rsidRPr="00C22AEB">
        <w:rPr>
          <w:szCs w:val="22"/>
        </w:rPr>
        <w:t>:</w:t>
      </w:r>
    </w:p>
    <w:p w:rsidR="00D722A9" w:rsidRDefault="00D722A9" w:rsidP="00D722A9">
      <w:pPr>
        <w:pStyle w:val="ListParagraph"/>
        <w:numPr>
          <w:ilvl w:val="0"/>
          <w:numId w:val="26"/>
        </w:numPr>
        <w:rPr>
          <w:szCs w:val="22"/>
        </w:rPr>
      </w:pPr>
      <w:r w:rsidRPr="00D722A9">
        <w:rPr>
          <w:szCs w:val="22"/>
        </w:rPr>
        <w:t xml:space="preserve">62.02.10 "Services de conseil en configurations informatiques" qui comprend </w:t>
      </w:r>
    </w:p>
    <w:p w:rsidR="00D722A9" w:rsidRDefault="00D722A9" w:rsidP="00D722A9">
      <w:pPr>
        <w:pStyle w:val="ListParagraph"/>
        <w:numPr>
          <w:ilvl w:val="1"/>
          <w:numId w:val="26"/>
        </w:numPr>
        <w:rPr>
          <w:szCs w:val="22"/>
        </w:rPr>
      </w:pPr>
      <w:r>
        <w:rPr>
          <w:szCs w:val="22"/>
        </w:rPr>
        <w:t>C</w:t>
      </w:r>
      <w:r w:rsidRPr="00D722A9">
        <w:rPr>
          <w:szCs w:val="22"/>
        </w:rPr>
        <w:t>onseil et expertise en configurations informatiques, tels que l'évaluation des besoins et la planification des acquisitions</w:t>
      </w:r>
    </w:p>
    <w:p w:rsidR="00D722A9" w:rsidRDefault="00D722A9" w:rsidP="00D722A9">
      <w:pPr>
        <w:pStyle w:val="ListParagraph"/>
        <w:numPr>
          <w:ilvl w:val="1"/>
          <w:numId w:val="26"/>
        </w:numPr>
        <w:rPr>
          <w:szCs w:val="22"/>
        </w:rPr>
      </w:pPr>
      <w:r>
        <w:rPr>
          <w:szCs w:val="22"/>
        </w:rPr>
        <w:t>F</w:t>
      </w:r>
      <w:r w:rsidRPr="00D722A9">
        <w:rPr>
          <w:szCs w:val="22"/>
        </w:rPr>
        <w:t>ourniture de témoignages d'expert sur des questions concernant le matériel informatique</w:t>
      </w:r>
    </w:p>
    <w:p w:rsidR="00D722A9" w:rsidRDefault="00D722A9" w:rsidP="00D722A9">
      <w:pPr>
        <w:pStyle w:val="ListParagraph"/>
        <w:numPr>
          <w:ilvl w:val="1"/>
          <w:numId w:val="26"/>
        </w:numPr>
        <w:rPr>
          <w:szCs w:val="22"/>
        </w:rPr>
      </w:pPr>
      <w:r>
        <w:rPr>
          <w:szCs w:val="22"/>
        </w:rPr>
        <w:t>S</w:t>
      </w:r>
      <w:r w:rsidRPr="00D722A9">
        <w:rPr>
          <w:szCs w:val="22"/>
        </w:rPr>
        <w:t>ervices associant l'évaluation des besoins informatiques du client, la planification des acquisitions de matériels et de logiciels, le développement de spécifications de systèmes et l'installation du nouveau système</w:t>
      </w:r>
    </w:p>
    <w:p w:rsidR="00D722A9" w:rsidRDefault="00D722A9" w:rsidP="00D722A9">
      <w:pPr>
        <w:pStyle w:val="ListParagraph"/>
        <w:numPr>
          <w:ilvl w:val="1"/>
          <w:numId w:val="26"/>
        </w:numPr>
        <w:rPr>
          <w:szCs w:val="22"/>
        </w:rPr>
      </w:pPr>
      <w:r>
        <w:rPr>
          <w:szCs w:val="22"/>
        </w:rPr>
        <w:t>S</w:t>
      </w:r>
      <w:r w:rsidRPr="00D722A9">
        <w:rPr>
          <w:szCs w:val="22"/>
        </w:rPr>
        <w:t>ervices d'intégration de systèmes informatiques, c'est-à-dire l'analyse de la configuration du client, des besoins informatiques actuels et futurs du client, des achats de nouveaux matériels et logiciels du client et l'intégration des nouveaux matériels et logiciels dans le système informatique du client</w:t>
      </w:r>
    </w:p>
    <w:p w:rsidR="00D722A9" w:rsidRDefault="00D722A9" w:rsidP="00D722A9">
      <w:pPr>
        <w:pStyle w:val="ListParagraph"/>
        <w:numPr>
          <w:ilvl w:val="0"/>
          <w:numId w:val="26"/>
        </w:numPr>
        <w:rPr>
          <w:szCs w:val="22"/>
        </w:rPr>
      </w:pPr>
      <w:r w:rsidRPr="00D722A9">
        <w:rPr>
          <w:szCs w:val="22"/>
        </w:rPr>
        <w:t xml:space="preserve">62.02.20 "Services de conseils en systèmes et logiciels informatiques" qui comprend : </w:t>
      </w:r>
    </w:p>
    <w:p w:rsidR="00D722A9" w:rsidRDefault="00D722A9" w:rsidP="00D722A9">
      <w:pPr>
        <w:pStyle w:val="ListParagraph"/>
        <w:numPr>
          <w:ilvl w:val="1"/>
          <w:numId w:val="26"/>
        </w:numPr>
        <w:rPr>
          <w:szCs w:val="22"/>
        </w:rPr>
      </w:pPr>
      <w:r>
        <w:rPr>
          <w:szCs w:val="22"/>
        </w:rPr>
        <w:t>C</w:t>
      </w:r>
      <w:r w:rsidRPr="00D722A9">
        <w:rPr>
          <w:szCs w:val="22"/>
        </w:rPr>
        <w:t>onseil et expertise en systèmes et logiciels informatiques personnalisés, tels que l'évaluation des besoins et la planification des acquisitions</w:t>
      </w:r>
    </w:p>
    <w:p w:rsidR="00D722A9" w:rsidRDefault="00D722A9" w:rsidP="00D722A9">
      <w:pPr>
        <w:pStyle w:val="ListParagraph"/>
        <w:numPr>
          <w:ilvl w:val="1"/>
          <w:numId w:val="26"/>
        </w:numPr>
        <w:rPr>
          <w:szCs w:val="22"/>
        </w:rPr>
      </w:pPr>
      <w:r>
        <w:rPr>
          <w:szCs w:val="22"/>
        </w:rPr>
        <w:lastRenderedPageBreak/>
        <w:t>D</w:t>
      </w:r>
      <w:r w:rsidRPr="00D722A9">
        <w:rPr>
          <w:szCs w:val="22"/>
        </w:rPr>
        <w:t>éveloppement de spécifications de systèmes et logiciels informatiques</w:t>
      </w:r>
    </w:p>
    <w:p w:rsidR="004D6418" w:rsidRPr="00D722A9" w:rsidRDefault="00D722A9" w:rsidP="00D722A9">
      <w:pPr>
        <w:pStyle w:val="ListParagraph"/>
        <w:numPr>
          <w:ilvl w:val="1"/>
          <w:numId w:val="26"/>
        </w:numPr>
        <w:rPr>
          <w:szCs w:val="22"/>
        </w:rPr>
      </w:pPr>
      <w:r>
        <w:rPr>
          <w:szCs w:val="22"/>
        </w:rPr>
        <w:t>C</w:t>
      </w:r>
      <w:r w:rsidRPr="00D722A9">
        <w:rPr>
          <w:szCs w:val="22"/>
        </w:rPr>
        <w:t>onseils en matière de sécurité</w:t>
      </w:r>
    </w:p>
    <w:p w:rsidR="00C60FE2" w:rsidRDefault="00595D47" w:rsidP="008E474D">
      <w:pPr>
        <w:pStyle w:val="Heading2"/>
      </w:pPr>
      <w:bookmarkStart w:id="14" w:name="_Toc454836331"/>
      <w:r>
        <w:t>Chiffres clés</w:t>
      </w:r>
      <w:bookmarkEnd w:id="14"/>
      <w:r w:rsidR="008E474D">
        <w:t xml:space="preserve"> </w:t>
      </w:r>
    </w:p>
    <w:tbl>
      <w:tblPr>
        <w:tblW w:w="11407"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6946"/>
      </w:tblGrid>
      <w:tr w:rsidR="004D6418" w:rsidRPr="00C22AEB" w:rsidTr="001B245F">
        <w:trPr>
          <w:trHeight w:val="298"/>
        </w:trPr>
        <w:tc>
          <w:tcPr>
            <w:tcW w:w="4461" w:type="dxa"/>
          </w:tcPr>
          <w:p w:rsidR="004D6418" w:rsidRPr="00C22AEB" w:rsidRDefault="004D6418" w:rsidP="004D6418">
            <w:r w:rsidRPr="00C22AEB">
              <w:t>Nombre d’entreprises </w:t>
            </w:r>
          </w:p>
        </w:tc>
        <w:tc>
          <w:tcPr>
            <w:tcW w:w="6946" w:type="dxa"/>
          </w:tcPr>
          <w:p w:rsidR="004D6418" w:rsidRPr="00C22AEB" w:rsidRDefault="00C84578" w:rsidP="007D41EB">
            <w:r>
              <w:t>20</w:t>
            </w:r>
            <w:r w:rsidR="007D41EB">
              <w:t> </w:t>
            </w:r>
            <w:r>
              <w:t>000</w:t>
            </w:r>
            <w:r w:rsidR="007D41EB">
              <w:t xml:space="preserve"> </w:t>
            </w:r>
          </w:p>
        </w:tc>
      </w:tr>
      <w:tr w:rsidR="007D41EB" w:rsidRPr="00C22AEB" w:rsidTr="008E474D">
        <w:trPr>
          <w:trHeight w:val="361"/>
        </w:trPr>
        <w:tc>
          <w:tcPr>
            <w:tcW w:w="4461" w:type="dxa"/>
          </w:tcPr>
          <w:p w:rsidR="007D41EB" w:rsidRPr="00C22AEB" w:rsidRDefault="007D41EB" w:rsidP="004D6418">
            <w:r>
              <w:t>Nombre d’unités légales</w:t>
            </w:r>
            <w:r w:rsidR="008B0A80">
              <w:t xml:space="preserve"> </w:t>
            </w:r>
          </w:p>
        </w:tc>
        <w:tc>
          <w:tcPr>
            <w:tcW w:w="6946" w:type="dxa"/>
          </w:tcPr>
          <w:p w:rsidR="007D41EB" w:rsidRDefault="007D41EB" w:rsidP="007D41EB">
            <w:r w:rsidRPr="007D41EB">
              <w:t>38</w:t>
            </w:r>
            <w:r>
              <w:t xml:space="preserve"> 000 </w:t>
            </w:r>
          </w:p>
        </w:tc>
      </w:tr>
      <w:tr w:rsidR="004D6418" w:rsidRPr="00C22AEB" w:rsidTr="00C84578">
        <w:tc>
          <w:tcPr>
            <w:tcW w:w="4461" w:type="dxa"/>
          </w:tcPr>
          <w:p w:rsidR="004D6418" w:rsidRPr="00C22AEB" w:rsidRDefault="004D6418" w:rsidP="004D6418">
            <w:r w:rsidRPr="00C22AEB">
              <w:t>Effectifs </w:t>
            </w:r>
            <w:r w:rsidR="008B0A80">
              <w:t xml:space="preserve">en </w:t>
            </w:r>
            <w:r w:rsidRPr="00C22AEB">
              <w:t xml:space="preserve">ETP (équivalent temps plein) </w:t>
            </w:r>
          </w:p>
        </w:tc>
        <w:tc>
          <w:tcPr>
            <w:tcW w:w="6946" w:type="dxa"/>
          </w:tcPr>
          <w:p w:rsidR="004D6418" w:rsidRPr="00C22AEB" w:rsidRDefault="004D6418" w:rsidP="00C84578">
            <w:r w:rsidRPr="00C22AEB">
              <w:t>185</w:t>
            </w:r>
            <w:r w:rsidR="005D46C0">
              <w:t> </w:t>
            </w:r>
            <w:r w:rsidR="00C84578">
              <w:t>000</w:t>
            </w:r>
            <w:r w:rsidR="005D46C0">
              <w:t xml:space="preserve"> </w:t>
            </w:r>
          </w:p>
        </w:tc>
      </w:tr>
      <w:tr w:rsidR="004D6418" w:rsidRPr="00C22AEB" w:rsidTr="00C84578">
        <w:tc>
          <w:tcPr>
            <w:tcW w:w="4461" w:type="dxa"/>
          </w:tcPr>
          <w:p w:rsidR="008E474D" w:rsidRDefault="008E474D" w:rsidP="00763BC9">
            <w:pPr>
              <w:jc w:val="mediumKashida"/>
            </w:pPr>
          </w:p>
          <w:p w:rsidR="008E474D" w:rsidRDefault="008E474D" w:rsidP="00763BC9">
            <w:pPr>
              <w:jc w:val="mediumKashida"/>
            </w:pPr>
          </w:p>
          <w:p w:rsidR="004D6418" w:rsidRPr="00C22AEB" w:rsidRDefault="004D6418" w:rsidP="00763BC9">
            <w:pPr>
              <w:jc w:val="mediumKashida"/>
            </w:pPr>
            <w:r w:rsidRPr="00C22AEB">
              <w:t>Chiffre d’affaires </w:t>
            </w:r>
            <w:r w:rsidR="00ED7FB7">
              <w:t xml:space="preserve">(secteur) </w:t>
            </w:r>
          </w:p>
        </w:tc>
        <w:tc>
          <w:tcPr>
            <w:tcW w:w="6946" w:type="dxa"/>
          </w:tcPr>
          <w:p w:rsidR="008E3705" w:rsidRDefault="00C84578" w:rsidP="008E3705">
            <w:pPr>
              <w:rPr>
                <w:color w:val="000000"/>
                <w:szCs w:val="22"/>
              </w:rPr>
            </w:pPr>
            <w:r w:rsidRPr="003542D8">
              <w:rPr>
                <w:color w:val="000000"/>
                <w:szCs w:val="22"/>
              </w:rPr>
              <w:t>30 milliard d’euro en 201</w:t>
            </w:r>
            <w:r w:rsidR="008E3705">
              <w:rPr>
                <w:color w:val="000000"/>
                <w:szCs w:val="22"/>
              </w:rPr>
              <w:t>3</w:t>
            </w:r>
          </w:p>
          <w:p w:rsidR="007D41EB" w:rsidRDefault="008E3705" w:rsidP="008E3705">
            <w:pPr>
              <w:rPr>
                <w:color w:val="000000"/>
                <w:szCs w:val="22"/>
              </w:rPr>
            </w:pPr>
            <w:r>
              <w:rPr>
                <w:color w:val="000000"/>
                <w:szCs w:val="22"/>
              </w:rPr>
              <w:t xml:space="preserve">29 milliard </w:t>
            </w:r>
            <w:r w:rsidRPr="003542D8">
              <w:rPr>
                <w:color w:val="000000"/>
                <w:szCs w:val="22"/>
              </w:rPr>
              <w:t>d’euro en 201</w:t>
            </w:r>
            <w:r>
              <w:rPr>
                <w:color w:val="000000"/>
                <w:szCs w:val="22"/>
              </w:rPr>
              <w:t>2</w:t>
            </w:r>
          </w:p>
          <w:p w:rsidR="008E3705" w:rsidRDefault="008E3705" w:rsidP="007D41EB">
            <w:pPr>
              <w:rPr>
                <w:color w:val="000000"/>
                <w:szCs w:val="22"/>
              </w:rPr>
            </w:pPr>
            <w:r>
              <w:rPr>
                <w:color w:val="000000"/>
                <w:szCs w:val="22"/>
              </w:rPr>
              <w:t xml:space="preserve">Représente : </w:t>
            </w:r>
          </w:p>
          <w:p w:rsidR="008E3705" w:rsidRDefault="007D41EB" w:rsidP="008E3705">
            <w:pPr>
              <w:pStyle w:val="ListParagraph"/>
              <w:numPr>
                <w:ilvl w:val="0"/>
                <w:numId w:val="26"/>
              </w:numPr>
              <w:rPr>
                <w:color w:val="000000"/>
                <w:szCs w:val="22"/>
              </w:rPr>
            </w:pPr>
            <w:r w:rsidRPr="008E3705">
              <w:rPr>
                <w:color w:val="000000"/>
                <w:szCs w:val="22"/>
              </w:rPr>
              <w:t xml:space="preserve">50% des services informatique </w:t>
            </w:r>
          </w:p>
          <w:p w:rsidR="008E3705" w:rsidRDefault="007D41EB" w:rsidP="008E3705">
            <w:pPr>
              <w:pStyle w:val="ListParagraph"/>
              <w:numPr>
                <w:ilvl w:val="0"/>
                <w:numId w:val="26"/>
              </w:numPr>
              <w:rPr>
                <w:color w:val="000000"/>
                <w:szCs w:val="22"/>
              </w:rPr>
            </w:pPr>
            <w:r w:rsidRPr="008E3705">
              <w:rPr>
                <w:color w:val="000000"/>
                <w:szCs w:val="22"/>
              </w:rPr>
              <w:t xml:space="preserve">20% des TIC </w:t>
            </w:r>
          </w:p>
          <w:p w:rsidR="007D41EB" w:rsidRPr="008E3705" w:rsidRDefault="00E52891" w:rsidP="008E3705">
            <w:pPr>
              <w:pStyle w:val="ListParagraph"/>
              <w:numPr>
                <w:ilvl w:val="0"/>
                <w:numId w:val="26"/>
              </w:numPr>
              <w:rPr>
                <w:color w:val="000000"/>
                <w:szCs w:val="22"/>
              </w:rPr>
            </w:pPr>
            <w:r w:rsidRPr="008E3705">
              <w:rPr>
                <w:color w:val="000000"/>
                <w:szCs w:val="22"/>
              </w:rPr>
              <w:t>1</w:t>
            </w:r>
            <w:r w:rsidR="007D41EB" w:rsidRPr="008E3705">
              <w:rPr>
                <w:color w:val="000000"/>
                <w:szCs w:val="22"/>
              </w:rPr>
              <w:t xml:space="preserve">% du PIB </w:t>
            </w:r>
          </w:p>
        </w:tc>
      </w:tr>
      <w:tr w:rsidR="008E3705" w:rsidRPr="00C22AEB" w:rsidTr="00C84578">
        <w:tc>
          <w:tcPr>
            <w:tcW w:w="4461" w:type="dxa"/>
          </w:tcPr>
          <w:p w:rsidR="008E3705" w:rsidRPr="00C22AEB" w:rsidRDefault="008E3705" w:rsidP="00763BC9">
            <w:pPr>
              <w:jc w:val="mediumKashida"/>
            </w:pPr>
            <w:r>
              <w:t>Chiffre d’affaire (branche)</w:t>
            </w:r>
          </w:p>
        </w:tc>
        <w:tc>
          <w:tcPr>
            <w:tcW w:w="6946" w:type="dxa"/>
          </w:tcPr>
          <w:p w:rsidR="008E3705" w:rsidRPr="003542D8" w:rsidRDefault="008E3705" w:rsidP="008E3705">
            <w:pPr>
              <w:rPr>
                <w:color w:val="000000"/>
                <w:szCs w:val="22"/>
              </w:rPr>
            </w:pPr>
            <w:r>
              <w:rPr>
                <w:color w:val="000000"/>
                <w:szCs w:val="22"/>
              </w:rPr>
              <w:t xml:space="preserve">26 milliard </w:t>
            </w:r>
            <w:r w:rsidRPr="003542D8">
              <w:rPr>
                <w:color w:val="000000"/>
                <w:szCs w:val="22"/>
              </w:rPr>
              <w:t>d’euro en 201</w:t>
            </w:r>
            <w:r>
              <w:rPr>
                <w:color w:val="000000"/>
                <w:szCs w:val="22"/>
              </w:rPr>
              <w:t>2</w:t>
            </w:r>
          </w:p>
        </w:tc>
      </w:tr>
      <w:tr w:rsidR="004D6418" w:rsidRPr="00C22AEB" w:rsidTr="00C84578">
        <w:tc>
          <w:tcPr>
            <w:tcW w:w="4461" w:type="dxa"/>
          </w:tcPr>
          <w:p w:rsidR="004D6418" w:rsidRPr="00C22AEB" w:rsidRDefault="00C84578" w:rsidP="004D6418">
            <w:r>
              <w:t xml:space="preserve">Taux d’exportation </w:t>
            </w:r>
            <w:r>
              <w:rPr>
                <w:rStyle w:val="FootnoteReference"/>
              </w:rPr>
              <w:footnoteReference w:id="1"/>
            </w:r>
            <w:r w:rsidR="005D46C0">
              <w:t xml:space="preserve"> </w:t>
            </w:r>
          </w:p>
        </w:tc>
        <w:tc>
          <w:tcPr>
            <w:tcW w:w="6946" w:type="dxa"/>
          </w:tcPr>
          <w:p w:rsidR="004D6418" w:rsidRPr="00C22AEB" w:rsidRDefault="00ED7FB7" w:rsidP="00C84578">
            <w:r>
              <w:t>10</w:t>
            </w:r>
            <w:r w:rsidR="00C84578">
              <w:t xml:space="preserve">% </w:t>
            </w:r>
          </w:p>
        </w:tc>
      </w:tr>
    </w:tbl>
    <w:p w:rsidR="005A1115" w:rsidRPr="005A1115" w:rsidRDefault="008E474D" w:rsidP="008E474D">
      <w:pPr>
        <w:jc w:val="left"/>
      </w:pPr>
      <w:r>
        <w:t xml:space="preserve">Source : INSEE </w:t>
      </w:r>
    </w:p>
    <w:p w:rsidR="00C84578" w:rsidRDefault="008E60D7" w:rsidP="00F82406">
      <w:r>
        <w:t xml:space="preserve">Les graphiques </w:t>
      </w:r>
      <w:r w:rsidR="00F82406">
        <w:t xml:space="preserve">et le benchmark du paragraphe </w:t>
      </w:r>
      <w:r w:rsidR="00567BB5">
        <w:fldChar w:fldCharType="begin"/>
      </w:r>
      <w:r w:rsidR="00F82406">
        <w:instrText xml:space="preserve"> REF _Ref451797590 \r \h </w:instrText>
      </w:r>
      <w:r w:rsidR="00567BB5">
        <w:fldChar w:fldCharType="separate"/>
      </w:r>
      <w:r w:rsidR="00BE2688">
        <w:rPr>
          <w:cs/>
        </w:rPr>
        <w:t>‎</w:t>
      </w:r>
      <w:r w:rsidR="00BE2688">
        <w:t>7</w:t>
      </w:r>
      <w:r w:rsidR="00567BB5">
        <w:fldChar w:fldCharType="end"/>
      </w:r>
      <w:r>
        <w:t xml:space="preserve"> montrent la place du secteur dans l’économie. </w:t>
      </w:r>
    </w:p>
    <w:p w:rsidR="00D221E9" w:rsidRDefault="00D221E9">
      <w:pPr>
        <w:spacing w:before="0" w:after="0"/>
        <w:ind w:left="0"/>
        <w:jc w:val="left"/>
      </w:pPr>
    </w:p>
    <w:p w:rsidR="00FC4333" w:rsidRDefault="00E1425E" w:rsidP="00FC4333">
      <w:pPr>
        <w:pStyle w:val="Heading1"/>
      </w:pPr>
      <w:bookmarkStart w:id="15" w:name="_Toc454836332"/>
      <w:r>
        <w:lastRenderedPageBreak/>
        <w:t xml:space="preserve">Principaux </w:t>
      </w:r>
      <w:r w:rsidR="00FC4333">
        <w:t>acteurs de la profession</w:t>
      </w:r>
      <w:bookmarkEnd w:id="15"/>
      <w:r w:rsidR="00FC4333">
        <w:t xml:space="preserve"> </w:t>
      </w:r>
    </w:p>
    <w:p w:rsidR="009C261D" w:rsidRDefault="00595D47" w:rsidP="00595D47">
      <w:pPr>
        <w:pStyle w:val="Heading2"/>
      </w:pPr>
      <w:bookmarkStart w:id="16" w:name="_Ref451795924"/>
      <w:bookmarkStart w:id="17" w:name="_Toc454836333"/>
      <w:r w:rsidRPr="00595D47">
        <w:t>Les principales entreprises du secteur</w:t>
      </w:r>
      <w:bookmarkEnd w:id="16"/>
      <w:bookmarkEnd w:id="17"/>
    </w:p>
    <w:p w:rsidR="00E019B3" w:rsidRPr="00E019B3" w:rsidRDefault="002828B7" w:rsidP="00E019B3">
      <w:r>
        <w:t xml:space="preserve">Nous listons dans le tableau suivant le top 35 des entreprises du secteur qui partagent un </w:t>
      </w:r>
      <w:r w:rsidR="00120E3B">
        <w:t>peu</w:t>
      </w:r>
      <w:r>
        <w:t xml:space="preserve"> plus de 50% du marché. (Source : Diane) </w:t>
      </w:r>
    </w:p>
    <w:p w:rsidR="00595D47" w:rsidRDefault="001B1178" w:rsidP="001B1178">
      <w:pPr>
        <w:jc w:val="center"/>
      </w:pPr>
      <w:r w:rsidRPr="001B1178">
        <w:rPr>
          <w:noProof/>
        </w:rPr>
        <w:drawing>
          <wp:inline distT="0" distB="0" distL="0" distR="0">
            <wp:extent cx="6851817" cy="3937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687" t="1202" r="1026"/>
                    <a:stretch>
                      <a:fillRect/>
                    </a:stretch>
                  </pic:blipFill>
                  <pic:spPr bwMode="auto">
                    <a:xfrm>
                      <a:off x="0" y="0"/>
                      <a:ext cx="6851817" cy="3937000"/>
                    </a:xfrm>
                    <a:prstGeom prst="rect">
                      <a:avLst/>
                    </a:prstGeom>
                    <a:noFill/>
                    <a:ln w="9525">
                      <a:noFill/>
                      <a:miter lim="800000"/>
                      <a:headEnd/>
                      <a:tailEnd/>
                    </a:ln>
                  </pic:spPr>
                </pic:pic>
              </a:graphicData>
            </a:graphic>
          </wp:inline>
        </w:drawing>
      </w:r>
    </w:p>
    <w:p w:rsidR="001B1178" w:rsidRDefault="001B1178" w:rsidP="001B1178">
      <w:pPr>
        <w:jc w:val="center"/>
      </w:pPr>
    </w:p>
    <w:p w:rsidR="001B1178" w:rsidRDefault="001B1178" w:rsidP="001B1178">
      <w:pPr>
        <w:jc w:val="center"/>
      </w:pPr>
      <w:r w:rsidRPr="001B1178">
        <w:rPr>
          <w:noProof/>
        </w:rPr>
        <w:lastRenderedPageBreak/>
        <w:drawing>
          <wp:inline distT="0" distB="0" distL="0" distR="0">
            <wp:extent cx="6553200" cy="457426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888" r="866" b="1975"/>
                    <a:stretch>
                      <a:fillRect/>
                    </a:stretch>
                  </pic:blipFill>
                  <pic:spPr bwMode="auto">
                    <a:xfrm>
                      <a:off x="0" y="0"/>
                      <a:ext cx="6553200" cy="4574263"/>
                    </a:xfrm>
                    <a:prstGeom prst="rect">
                      <a:avLst/>
                    </a:prstGeom>
                    <a:noFill/>
                    <a:ln w="9525">
                      <a:noFill/>
                      <a:miter lim="800000"/>
                      <a:headEnd/>
                      <a:tailEnd/>
                    </a:ln>
                  </pic:spPr>
                </pic:pic>
              </a:graphicData>
            </a:graphic>
          </wp:inline>
        </w:drawing>
      </w:r>
    </w:p>
    <w:p w:rsidR="001B1178" w:rsidRDefault="002828B7" w:rsidP="007A7C91">
      <w:r>
        <w:t>Selon notre estimation</w:t>
      </w:r>
      <w:r w:rsidR="007A7C91">
        <w:t>,</w:t>
      </w:r>
      <w:r>
        <w:t xml:space="preserve"> l’entreprise Devoteam (30</w:t>
      </w:r>
      <w:r w:rsidRPr="002828B7">
        <w:rPr>
          <w:vertAlign w:val="superscript"/>
        </w:rPr>
        <w:t>ème</w:t>
      </w:r>
      <w:r>
        <w:t xml:space="preserve"> dans la liste ci-dessus) représente la taille critique dans le secteur. </w:t>
      </w:r>
    </w:p>
    <w:p w:rsidR="00595D47" w:rsidRDefault="00595D47" w:rsidP="00704087">
      <w:pPr>
        <w:pStyle w:val="Heading2"/>
      </w:pPr>
      <w:bookmarkStart w:id="18" w:name="_Toc454836334"/>
      <w:r>
        <w:t>Filière</w:t>
      </w:r>
      <w:bookmarkEnd w:id="18"/>
      <w:r>
        <w:t xml:space="preserve"> </w:t>
      </w:r>
    </w:p>
    <w:p w:rsidR="00595D47" w:rsidRDefault="00C32B71" w:rsidP="00595D47">
      <w:r>
        <w:t>La chaine de valeur des services informatique</w:t>
      </w:r>
      <w:r w:rsidR="00E77648">
        <w:t xml:space="preserve"> commence par les services de conseil. C’est à dire par notre secteur 6202A. Mais on peut voir que notre secteur vient en aval des services de conseil en management et de conseil en stratégie d’entreprise qui sont des activités de secteurs de la d</w:t>
      </w:r>
      <w:r w:rsidR="00E77648" w:rsidRPr="00E77648">
        <w:t xml:space="preserve">ivision 70 </w:t>
      </w:r>
      <w:r w:rsidR="00E77648">
        <w:t>« </w:t>
      </w:r>
      <w:r w:rsidR="00E77648" w:rsidRPr="00E77648">
        <w:t>Activités des sièges sociaux</w:t>
      </w:r>
      <w:r w:rsidR="00E77648">
        <w:t> » de la NAF.</w:t>
      </w:r>
    </w:p>
    <w:p w:rsidR="00492605" w:rsidRDefault="00492605" w:rsidP="00492605">
      <w:pPr>
        <w:pStyle w:val="Heading3"/>
      </w:pPr>
      <w:bookmarkStart w:id="19" w:name="_Toc454836335"/>
      <w:r>
        <w:lastRenderedPageBreak/>
        <w:t>Secteurs amont</w:t>
      </w:r>
      <w:bookmarkEnd w:id="19"/>
      <w:r>
        <w:t xml:space="preserve"> </w:t>
      </w:r>
    </w:p>
    <w:p w:rsidR="00492605" w:rsidRDefault="00492605" w:rsidP="00492605">
      <w:r>
        <w:t xml:space="preserve">Les secteurs amont au secteur de conseil en informatique sont : </w:t>
      </w:r>
    </w:p>
    <w:p w:rsidR="00492605" w:rsidRDefault="00492605" w:rsidP="00492605">
      <w:pPr>
        <w:pStyle w:val="ListParagraph"/>
        <w:numPr>
          <w:ilvl w:val="0"/>
          <w:numId w:val="22"/>
        </w:numPr>
      </w:pPr>
      <w:r>
        <w:t xml:space="preserve">Secteur de conseil en management et stratégie (business consulting) </w:t>
      </w:r>
    </w:p>
    <w:p w:rsidR="00492605" w:rsidRDefault="00492605" w:rsidP="00492605">
      <w:pPr>
        <w:pStyle w:val="ListParagraph"/>
        <w:numPr>
          <w:ilvl w:val="0"/>
          <w:numId w:val="22"/>
        </w:numPr>
      </w:pPr>
      <w:r>
        <w:t xml:space="preserve">Secteur des éditions de logiciels </w:t>
      </w:r>
    </w:p>
    <w:p w:rsidR="00492605" w:rsidRDefault="00492605" w:rsidP="00492605">
      <w:pPr>
        <w:pStyle w:val="ListParagraph"/>
        <w:numPr>
          <w:ilvl w:val="0"/>
          <w:numId w:val="22"/>
        </w:numPr>
      </w:pPr>
      <w:r>
        <w:t xml:space="preserve">Secteur de l’industrie </w:t>
      </w:r>
    </w:p>
    <w:p w:rsidR="00492605" w:rsidRDefault="00492605" w:rsidP="00492605">
      <w:pPr>
        <w:pStyle w:val="ListParagraph"/>
        <w:numPr>
          <w:ilvl w:val="0"/>
          <w:numId w:val="22"/>
        </w:numPr>
      </w:pPr>
      <w:r>
        <w:t xml:space="preserve">Secteur de télécommunication </w:t>
      </w:r>
    </w:p>
    <w:p w:rsidR="00492605" w:rsidRDefault="00492605" w:rsidP="00492605">
      <w:pPr>
        <w:pStyle w:val="Heading3"/>
      </w:pPr>
      <w:bookmarkStart w:id="20" w:name="_Toc454836336"/>
      <w:r>
        <w:t>Secteurs aval</w:t>
      </w:r>
      <w:bookmarkEnd w:id="20"/>
      <w:r>
        <w:t xml:space="preserve"> </w:t>
      </w:r>
    </w:p>
    <w:p w:rsidR="00492605" w:rsidRDefault="00492605" w:rsidP="00492605">
      <w:r>
        <w:t xml:space="preserve">Ce sont les secteurs permettant la mise en place des systèmes d’information : </w:t>
      </w:r>
    </w:p>
    <w:p w:rsidR="00492605" w:rsidRDefault="00492605" w:rsidP="00492605">
      <w:pPr>
        <w:pStyle w:val="ListParagraph"/>
        <w:numPr>
          <w:ilvl w:val="0"/>
          <w:numId w:val="21"/>
        </w:numPr>
      </w:pPr>
      <w:r>
        <w:t xml:space="preserve">Programmation informatique </w:t>
      </w:r>
    </w:p>
    <w:p w:rsidR="00492605" w:rsidRDefault="00492605" w:rsidP="00492605">
      <w:pPr>
        <w:pStyle w:val="ListParagraph"/>
        <w:numPr>
          <w:ilvl w:val="0"/>
          <w:numId w:val="21"/>
        </w:numPr>
      </w:pPr>
      <w:r>
        <w:t xml:space="preserve">Maintenance informatique </w:t>
      </w:r>
    </w:p>
    <w:p w:rsidR="00492605" w:rsidRDefault="00492605" w:rsidP="00492605">
      <w:pPr>
        <w:pStyle w:val="ListParagraph"/>
        <w:numPr>
          <w:ilvl w:val="0"/>
          <w:numId w:val="21"/>
        </w:numPr>
      </w:pPr>
      <w:r>
        <w:t xml:space="preserve">Les agences de presse permettant </w:t>
      </w:r>
    </w:p>
    <w:p w:rsidR="00120E3B" w:rsidRDefault="00120E3B" w:rsidP="00120E3B"/>
    <w:p w:rsidR="00FC4333" w:rsidRDefault="00FC4333" w:rsidP="00FC4333">
      <w:pPr>
        <w:pStyle w:val="Heading1"/>
      </w:pPr>
      <w:bookmarkStart w:id="21" w:name="_Toc454836337"/>
      <w:r>
        <w:lastRenderedPageBreak/>
        <w:t xml:space="preserve">Production </w:t>
      </w:r>
      <w:r w:rsidR="00595D47">
        <w:t>de service</w:t>
      </w:r>
      <w:bookmarkEnd w:id="21"/>
      <w:r w:rsidR="00595D47">
        <w:t xml:space="preserve"> </w:t>
      </w:r>
      <w:r>
        <w:t xml:space="preserve"> </w:t>
      </w:r>
    </w:p>
    <w:p w:rsidR="00794D4E" w:rsidRDefault="00595D47" w:rsidP="00794D4E">
      <w:r>
        <w:t xml:space="preserve">Les productions de ce secteur sont les services de conseil fournis par les ESN aux entreprises des autres secteurs d’activité. </w:t>
      </w:r>
      <w:r w:rsidR="00794D4E" w:rsidRPr="00C22AEB">
        <w:t xml:space="preserve">Le service de conseil en informatique est </w:t>
      </w:r>
      <w:r w:rsidR="00794D4E">
        <w:t xml:space="preserve">donc </w:t>
      </w:r>
      <w:r w:rsidR="00794D4E" w:rsidRPr="00C22AEB">
        <w:t>un service de type B2B et s’adresse à toutes les entreprises ayant besoin d’une assistance dans le domaine de l’informatique. Il s’agit d’une activité complémentaire aux autres services proposés dans le domaine de l’informatique. En règle générale cette prestation est réalisée par une entreprise tierce, appelé ESN, ou par une équipe interne dédiée.</w:t>
      </w:r>
    </w:p>
    <w:p w:rsidR="00794D4E" w:rsidRDefault="00794D4E" w:rsidP="00794D4E">
      <w:r w:rsidRPr="00C22AEB">
        <w:t xml:space="preserve">L’activité du conseil est réalisée en prenant en comptes les spécificités, les exigences et les problématiques de chaque secteur mais aussi </w:t>
      </w:r>
      <w:r>
        <w:t xml:space="preserve">de </w:t>
      </w:r>
      <w:r w:rsidRPr="00C22AEB">
        <w:t xml:space="preserve">chaque entreprise en raison de l’hétérogénéité des systèmes informatiques. </w:t>
      </w:r>
    </w:p>
    <w:p w:rsidR="00794D4E" w:rsidRDefault="00794D4E" w:rsidP="00794D4E">
      <w:r w:rsidRPr="00C22AEB">
        <w:t>Les clients de ce secteur, généralement les DSI des grandes entreprises, ont besoin de recourir aux services informatique pour développer, maintenir et/ou exploiter leurs systèmes d’information. Ce type de demande débouche sur des projets informatiques de création de logiciel et comporte une part importante de conseil et d’accompagnement. Il en est de même pour l’intégration d’une solution progicielle « clé en main » existante.</w:t>
      </w:r>
    </w:p>
    <w:p w:rsidR="00794D4E" w:rsidRDefault="00794D4E" w:rsidP="00794D4E">
      <w:r w:rsidRPr="00C22AEB">
        <w:t>La transformation digitale de l’économie constitue une nouvelle demande à laquelle les entreprises ne peuvent y répondre sans prévoir une phase de « conseil informatique ».</w:t>
      </w:r>
    </w:p>
    <w:p w:rsidR="00794D4E" w:rsidRDefault="00794D4E" w:rsidP="00794D4E">
      <w:r w:rsidRPr="00C22AEB">
        <w:t>En effet, les nouvelles technologies d’information et de la communication donnent souvent de nouvelles opportunités business. La croissance des ESN dépend aussi en grande partie de la capacité à proposer des solutions innovantes</w:t>
      </w:r>
      <w:r>
        <w:t xml:space="preserve">. </w:t>
      </w:r>
    </w:p>
    <w:p w:rsidR="00794D4E" w:rsidRDefault="00794D4E" w:rsidP="00794D4E">
      <w:r w:rsidRPr="00C22AEB">
        <w:t xml:space="preserve">D’après l’enquête annuelle de Gartner réalisé en janvier 2014 auprès de 23 000 DSI dans le monde, le classement des priorités technologiques est: </w:t>
      </w:r>
    </w:p>
    <w:p w:rsidR="00794D4E" w:rsidRDefault="00794D4E" w:rsidP="00794D4E">
      <w:pPr>
        <w:pStyle w:val="ListParagraph"/>
        <w:numPr>
          <w:ilvl w:val="0"/>
          <w:numId w:val="26"/>
        </w:numPr>
      </w:pPr>
      <w:r w:rsidRPr="00C22AEB">
        <w:t xml:space="preserve">Business Intelligence, </w:t>
      </w:r>
    </w:p>
    <w:p w:rsidR="00794D4E" w:rsidRDefault="00794D4E" w:rsidP="00794D4E">
      <w:pPr>
        <w:pStyle w:val="ListParagraph"/>
        <w:numPr>
          <w:ilvl w:val="0"/>
          <w:numId w:val="26"/>
        </w:numPr>
      </w:pPr>
      <w:r w:rsidRPr="00C22AEB">
        <w:t xml:space="preserve">Infrastructure et Datacenter, </w:t>
      </w:r>
    </w:p>
    <w:p w:rsidR="00794D4E" w:rsidRDefault="00794D4E" w:rsidP="00794D4E">
      <w:pPr>
        <w:pStyle w:val="ListParagraph"/>
        <w:numPr>
          <w:ilvl w:val="0"/>
          <w:numId w:val="26"/>
        </w:numPr>
      </w:pPr>
      <w:r w:rsidRPr="00C22AEB">
        <w:t xml:space="preserve">Cloud computing, </w:t>
      </w:r>
    </w:p>
    <w:p w:rsidR="00794D4E" w:rsidRDefault="00794D4E" w:rsidP="00794D4E">
      <w:pPr>
        <w:pStyle w:val="ListParagraph"/>
        <w:numPr>
          <w:ilvl w:val="0"/>
          <w:numId w:val="26"/>
        </w:numPr>
      </w:pPr>
      <w:r w:rsidRPr="00C22AEB">
        <w:t xml:space="preserve">ERP, </w:t>
      </w:r>
    </w:p>
    <w:p w:rsidR="00794D4E" w:rsidRDefault="00794D4E" w:rsidP="00794D4E">
      <w:pPr>
        <w:pStyle w:val="ListParagraph"/>
        <w:numPr>
          <w:ilvl w:val="0"/>
          <w:numId w:val="26"/>
        </w:numPr>
      </w:pPr>
      <w:r w:rsidRPr="00C22AEB">
        <w:t xml:space="preserve">Mobilité, </w:t>
      </w:r>
    </w:p>
    <w:p w:rsidR="00794D4E" w:rsidRDefault="00794D4E" w:rsidP="00794D4E">
      <w:pPr>
        <w:pStyle w:val="ListParagraph"/>
        <w:numPr>
          <w:ilvl w:val="0"/>
          <w:numId w:val="26"/>
        </w:numPr>
      </w:pPr>
      <w:r w:rsidRPr="00C22AEB">
        <w:t>Digitalisation</w:t>
      </w:r>
      <w:r>
        <w:t xml:space="preserve">, </w:t>
      </w:r>
      <w:r w:rsidRPr="00C22AEB">
        <w:t xml:space="preserve"> </w:t>
      </w:r>
    </w:p>
    <w:p w:rsidR="00794D4E" w:rsidRDefault="00794D4E" w:rsidP="00794D4E">
      <w:pPr>
        <w:pStyle w:val="ListParagraph"/>
        <w:numPr>
          <w:ilvl w:val="0"/>
          <w:numId w:val="26"/>
        </w:numPr>
      </w:pPr>
      <w:r w:rsidRPr="00C22AEB">
        <w:t>Mark</w:t>
      </w:r>
      <w:r>
        <w:t xml:space="preserve">eting digital, </w:t>
      </w:r>
    </w:p>
    <w:p w:rsidR="00794D4E" w:rsidRPr="00C22AEB" w:rsidRDefault="00794D4E" w:rsidP="00794D4E">
      <w:pPr>
        <w:pStyle w:val="ListParagraph"/>
        <w:numPr>
          <w:ilvl w:val="0"/>
          <w:numId w:val="26"/>
        </w:numPr>
      </w:pPr>
      <w:r w:rsidRPr="00C22AEB">
        <w:t xml:space="preserve">Sécurité. </w:t>
      </w:r>
    </w:p>
    <w:p w:rsidR="00595D47" w:rsidRDefault="00595D47" w:rsidP="009C261D"/>
    <w:p w:rsidR="00595D47" w:rsidRDefault="00595D47" w:rsidP="009C261D"/>
    <w:p w:rsidR="00FC4333" w:rsidRDefault="00FC4333" w:rsidP="00FC4333">
      <w:pPr>
        <w:pStyle w:val="Heading1"/>
      </w:pPr>
      <w:bookmarkStart w:id="22" w:name="_Toc454836338"/>
      <w:r>
        <w:lastRenderedPageBreak/>
        <w:t>Actualité de la profession</w:t>
      </w:r>
      <w:bookmarkEnd w:id="22"/>
      <w:r>
        <w:t xml:space="preserve">   </w:t>
      </w:r>
    </w:p>
    <w:p w:rsidR="00FC4333" w:rsidRDefault="00595D47" w:rsidP="00595D47">
      <w:pPr>
        <w:pStyle w:val="Heading2"/>
      </w:pPr>
      <w:bookmarkStart w:id="23" w:name="_Toc454836339"/>
      <w:r>
        <w:t>Les fusions acquisitions</w:t>
      </w:r>
      <w:bookmarkEnd w:id="23"/>
      <w:r>
        <w:t xml:space="preserve"> </w:t>
      </w:r>
    </w:p>
    <w:p w:rsidR="000D3DE1" w:rsidRDefault="000D3DE1" w:rsidP="000D3DE1">
      <w:pPr>
        <w:ind w:left="0"/>
      </w:pPr>
      <w:r>
        <w:t>Le baromètre IT annuel d’APM</w:t>
      </w:r>
      <w:r>
        <w:rPr>
          <w:rStyle w:val="FootnoteReference"/>
        </w:rPr>
        <w:footnoteReference w:id="2"/>
      </w:r>
      <w:r>
        <w:t xml:space="preserve"> résume les opérations de consolidation des secteurs des TI. Cette tendance concerne toutes les tailles d’entreprises. Les opérations remarquables en 2014 sont la fusion entre Stéria et Sopra, l’acquisition de Bull par Atos, l’acquisition d’Euriware par Capgemini.</w:t>
      </w:r>
    </w:p>
    <w:p w:rsidR="00595D47" w:rsidRDefault="000D3DE1" w:rsidP="000D3DE1">
      <w:pPr>
        <w:ind w:left="0"/>
      </w:pPr>
      <w:r w:rsidRPr="00EF74AE">
        <w:t>Le</w:t>
      </w:r>
      <w:r w:rsidR="000E1054" w:rsidRPr="000E1054">
        <w:t xml:space="preserve"> </w:t>
      </w:r>
      <w:r w:rsidR="00567BB5">
        <w:fldChar w:fldCharType="begin"/>
      </w:r>
      <w:r w:rsidR="000E1054">
        <w:instrText xml:space="preserve"> REF _Ref451798482 \h </w:instrText>
      </w:r>
      <w:r w:rsidR="00567BB5">
        <w:fldChar w:fldCharType="separate"/>
      </w:r>
      <w:r w:rsidR="00BE2688">
        <w:t xml:space="preserve">Graphique  </w:t>
      </w:r>
      <w:r w:rsidR="00BE2688">
        <w:rPr>
          <w:noProof/>
        </w:rPr>
        <w:t>3</w:t>
      </w:r>
      <w:r w:rsidR="00567BB5">
        <w:fldChar w:fldCharType="end"/>
      </w:r>
      <w:r w:rsidR="000E1054" w:rsidRPr="000E1054">
        <w:t xml:space="preserve"> </w:t>
      </w:r>
      <w:r>
        <w:t xml:space="preserve">montre l’évolution de ces opérations en volume et en valeur. En moyenne, sur la période entre 2006 et 2014, le nombre des opérations est stable mais on constate que la valeur de ces opérations a fortement augmenté en 2014. </w:t>
      </w:r>
      <w:r w:rsidRPr="00730949">
        <w:rPr>
          <w:lang w:val="en-US"/>
        </w:rPr>
        <w:t>Les</w:t>
      </w:r>
      <w:r w:rsidR="000E1054" w:rsidRPr="00730949">
        <w:rPr>
          <w:lang w:val="en-US"/>
        </w:rPr>
        <w:t xml:space="preserve"> </w:t>
      </w:r>
      <w:r w:rsidR="00567BB5">
        <w:fldChar w:fldCharType="begin"/>
      </w:r>
      <w:r w:rsidR="000E1054" w:rsidRPr="00730949">
        <w:rPr>
          <w:lang w:val="en-US"/>
        </w:rPr>
        <w:instrText xml:space="preserve"> REF _Ref451798513 \h </w:instrText>
      </w:r>
      <w:r w:rsidR="00567BB5">
        <w:fldChar w:fldCharType="separate"/>
      </w:r>
      <w:r w:rsidR="00BE2688">
        <w:rPr>
          <w:b/>
          <w:bCs/>
          <w:lang w:val="en-US"/>
        </w:rPr>
        <w:t>Error! Reference source not found.</w:t>
      </w:r>
      <w:r w:rsidR="00567BB5">
        <w:fldChar w:fldCharType="end"/>
      </w:r>
      <w:r w:rsidRPr="00730949">
        <w:rPr>
          <w:lang w:val="en-US"/>
        </w:rPr>
        <w:t xml:space="preserve"> et</w:t>
      </w:r>
      <w:r w:rsidR="000E1054" w:rsidRPr="00730949">
        <w:rPr>
          <w:lang w:val="en-US"/>
        </w:rPr>
        <w:t xml:space="preserve"> </w:t>
      </w:r>
      <w:r w:rsidR="00567BB5">
        <w:fldChar w:fldCharType="begin"/>
      </w:r>
      <w:r w:rsidR="000E1054" w:rsidRPr="00730949">
        <w:rPr>
          <w:lang w:val="en-US"/>
        </w:rPr>
        <w:instrText xml:space="preserve"> REF _Ref451798525 \h </w:instrText>
      </w:r>
      <w:r w:rsidR="00567BB5">
        <w:fldChar w:fldCharType="separate"/>
      </w:r>
      <w:r w:rsidR="00BE2688">
        <w:rPr>
          <w:b/>
          <w:bCs/>
          <w:lang w:val="en-US"/>
        </w:rPr>
        <w:t>Error! Reference source not found.</w:t>
      </w:r>
      <w:r w:rsidR="00567BB5">
        <w:fldChar w:fldCharType="end"/>
      </w:r>
      <w:r w:rsidRPr="00730949">
        <w:rPr>
          <w:lang w:val="en-US"/>
        </w:rPr>
        <w:t xml:space="preserve"> </w:t>
      </w:r>
      <w:r>
        <w:t>montrent plus de détails sur les catégories de ces opérations de fusions et acquisition.</w:t>
      </w:r>
      <w:r w:rsidR="000E1054">
        <w:t xml:space="preserve"> </w:t>
      </w:r>
    </w:p>
    <w:p w:rsidR="000E6B1E" w:rsidRDefault="000E6B1E" w:rsidP="009C261D"/>
    <w:p w:rsidR="00595D47" w:rsidRDefault="00183FC9" w:rsidP="00A11059">
      <w:pPr>
        <w:pStyle w:val="Heading2"/>
      </w:pPr>
      <w:bookmarkStart w:id="24" w:name="_Toc454836340"/>
      <w:r>
        <w:t xml:space="preserve">Synthèse de </w:t>
      </w:r>
      <w:r w:rsidR="003E7DA7">
        <w:t>l’actualité</w:t>
      </w:r>
      <w:r w:rsidR="00595D47">
        <w:t xml:space="preserve"> </w:t>
      </w:r>
      <w:r>
        <w:t>de la presse</w:t>
      </w:r>
      <w:bookmarkEnd w:id="24"/>
      <w:r>
        <w:t xml:space="preserve"> </w:t>
      </w:r>
    </w:p>
    <w:p w:rsidR="00A11059" w:rsidRDefault="00A11059" w:rsidP="009C261D">
      <w:pPr>
        <w:rPr>
          <w:color w:val="000000" w:themeColor="text1"/>
          <w:szCs w:val="22"/>
          <w:lang w:eastAsia="ja-JP"/>
        </w:rPr>
      </w:pPr>
      <w:r>
        <w:rPr>
          <w:color w:val="000000" w:themeColor="text1"/>
          <w:szCs w:val="22"/>
          <w:lang w:eastAsia="ja-JP"/>
        </w:rPr>
        <w:t>Tous les journaux même les non spécialistes du secteur parlent de digital et de disruption dans leur</w:t>
      </w:r>
      <w:r w:rsidR="003E7DA7">
        <w:rPr>
          <w:color w:val="000000" w:themeColor="text1"/>
          <w:szCs w:val="22"/>
          <w:lang w:eastAsia="ja-JP"/>
        </w:rPr>
        <w:t>s</w:t>
      </w:r>
      <w:r>
        <w:rPr>
          <w:color w:val="000000" w:themeColor="text1"/>
          <w:szCs w:val="22"/>
          <w:lang w:eastAsia="ja-JP"/>
        </w:rPr>
        <w:t xml:space="preserve"> rubriques technologies. C’est normal à cette période de 3</w:t>
      </w:r>
      <w:r w:rsidRPr="00A11059">
        <w:rPr>
          <w:color w:val="000000" w:themeColor="text1"/>
          <w:szCs w:val="22"/>
          <w:vertAlign w:val="superscript"/>
          <w:lang w:eastAsia="ja-JP"/>
        </w:rPr>
        <w:t>ème</w:t>
      </w:r>
      <w:r>
        <w:rPr>
          <w:color w:val="000000" w:themeColor="text1"/>
          <w:szCs w:val="22"/>
          <w:lang w:eastAsia="ja-JP"/>
        </w:rPr>
        <w:t xml:space="preserve"> révolution industrielle de l’</w:t>
      </w:r>
      <w:r w:rsidR="00FE3CA7">
        <w:rPr>
          <w:color w:val="000000" w:themeColor="text1"/>
          <w:szCs w:val="22"/>
          <w:lang w:eastAsia="ja-JP"/>
        </w:rPr>
        <w:t xml:space="preserve">informatique et de l’économie numérique. </w:t>
      </w:r>
    </w:p>
    <w:p w:rsidR="00AF3B08" w:rsidRDefault="00800766" w:rsidP="009C261D">
      <w:pPr>
        <w:rPr>
          <w:color w:val="000000" w:themeColor="text1"/>
          <w:szCs w:val="22"/>
          <w:lang w:eastAsia="ja-JP"/>
        </w:rPr>
      </w:pPr>
      <w:r>
        <w:rPr>
          <w:color w:val="000000" w:themeColor="text1"/>
          <w:szCs w:val="22"/>
          <w:lang w:eastAsia="ja-JP"/>
        </w:rPr>
        <w:t>Parmi</w:t>
      </w:r>
      <w:r w:rsidR="00AF3B08">
        <w:rPr>
          <w:color w:val="000000" w:themeColor="text1"/>
          <w:szCs w:val="22"/>
          <w:lang w:eastAsia="ja-JP"/>
        </w:rPr>
        <w:t xml:space="preserve"> les sujet</w:t>
      </w:r>
      <w:r>
        <w:rPr>
          <w:color w:val="000000" w:themeColor="text1"/>
          <w:szCs w:val="22"/>
          <w:lang w:eastAsia="ja-JP"/>
        </w:rPr>
        <w:t xml:space="preserve">s les plus cités en ce moment on trouve : </w:t>
      </w:r>
    </w:p>
    <w:p w:rsidR="00800766" w:rsidRPr="00800766" w:rsidRDefault="00800766" w:rsidP="00800766">
      <w:pPr>
        <w:pStyle w:val="ListParagraph"/>
        <w:numPr>
          <w:ilvl w:val="0"/>
          <w:numId w:val="26"/>
        </w:numPr>
        <w:rPr>
          <w:color w:val="000000" w:themeColor="text1"/>
          <w:szCs w:val="22"/>
          <w:lang w:eastAsia="ja-JP"/>
        </w:rPr>
      </w:pPr>
      <w:r w:rsidRPr="00800766">
        <w:rPr>
          <w:color w:val="000000" w:themeColor="text1"/>
          <w:szCs w:val="22"/>
          <w:lang w:eastAsia="ja-JP"/>
        </w:rPr>
        <w:t xml:space="preserve">Les FINTECH : Il s’agit d’utiliser les </w:t>
      </w:r>
      <w:r w:rsidRPr="0033018D">
        <w:t>technologies de l'information et de la communication pour livrer des services financiers de façon plus efficace et moins couteuse</w:t>
      </w:r>
      <w:r>
        <w:t>.</w:t>
      </w:r>
      <w:r w:rsidRPr="00800766">
        <w:t xml:space="preserve"> </w:t>
      </w:r>
    </w:p>
    <w:p w:rsidR="00800766" w:rsidRPr="00800766" w:rsidRDefault="00800766" w:rsidP="00800766">
      <w:pPr>
        <w:pStyle w:val="ListParagraph"/>
        <w:numPr>
          <w:ilvl w:val="0"/>
          <w:numId w:val="26"/>
        </w:numPr>
        <w:rPr>
          <w:color w:val="000000" w:themeColor="text1"/>
          <w:szCs w:val="22"/>
          <w:lang w:eastAsia="ja-JP"/>
        </w:rPr>
      </w:pPr>
      <w:r>
        <w:t xml:space="preserve">Big Data : Il s’agit de technologies permettant d’analyser les données clients en temps réel et de permettre de proposer des offres adaptées à la situation. Gartner décrit ce phénomène par « Business Moment ». </w:t>
      </w:r>
    </w:p>
    <w:p w:rsidR="00800766" w:rsidRPr="00800766" w:rsidRDefault="00800766" w:rsidP="00800766">
      <w:pPr>
        <w:rPr>
          <w:lang w:eastAsia="ja-JP"/>
        </w:rPr>
      </w:pPr>
    </w:p>
    <w:p w:rsidR="00800766" w:rsidRDefault="00800766" w:rsidP="009C261D">
      <w:pPr>
        <w:rPr>
          <w:color w:val="000000" w:themeColor="text1"/>
          <w:szCs w:val="22"/>
          <w:lang w:eastAsia="ja-JP"/>
        </w:rPr>
      </w:pPr>
    </w:p>
    <w:p w:rsidR="00AF3B08" w:rsidRDefault="00AF3B08" w:rsidP="009C261D">
      <w:pPr>
        <w:rPr>
          <w:color w:val="000000" w:themeColor="text1"/>
          <w:szCs w:val="22"/>
          <w:lang w:eastAsia="ja-JP"/>
        </w:rPr>
      </w:pPr>
    </w:p>
    <w:p w:rsidR="00443015" w:rsidRDefault="00443015" w:rsidP="009C261D"/>
    <w:p w:rsidR="000D3DE1" w:rsidRDefault="000D3DE1">
      <w:pPr>
        <w:spacing w:before="0" w:after="0"/>
        <w:ind w:left="0"/>
        <w:jc w:val="left"/>
      </w:pPr>
      <w:r>
        <w:br w:type="page"/>
      </w:r>
    </w:p>
    <w:p w:rsidR="00443015" w:rsidRDefault="00C83EF3" w:rsidP="003E7DA7">
      <w:pPr>
        <w:spacing w:before="0" w:after="0"/>
        <w:ind w:left="0"/>
        <w:jc w:val="left"/>
      </w:pPr>
      <w:r>
        <w:rPr>
          <w:noProof/>
        </w:rPr>
        <w:lastRenderedPageBreak/>
        <w:pict>
          <v:shapetype id="_x0000_t202" coordsize="21600,21600" o:spt="202" path="m,l,21600r21600,l21600,xe">
            <v:stroke joinstyle="miter"/>
            <v:path gradientshapeok="t" o:connecttype="rect"/>
          </v:shapetype>
          <v:shape id="_x0000_s1032" type="#_x0000_t202" style="position:absolute;margin-left:-3.9pt;margin-top:455.2pt;width:705.2pt;height:23.5pt;z-index:251661312" wrapcoords="-22 0 -22 20736 21600 20736 21600 0 -22 0" stroked="f">
            <v:textbox style="mso-next-textbox:#_x0000_s1032;mso-fit-shape-to-text:t" inset="0,0,0,0">
              <w:txbxContent>
                <w:p w:rsidR="003E7DA7" w:rsidRPr="00C4503D" w:rsidRDefault="003E7DA7" w:rsidP="000D3DE1">
                  <w:pPr>
                    <w:pStyle w:val="Caption"/>
                    <w:rPr>
                      <w:noProof/>
                    </w:rPr>
                  </w:pPr>
                  <w:r>
                    <w:t xml:space="preserve">Graphique  </w:t>
                  </w:r>
                  <w:r w:rsidR="00C83EF3">
                    <w:fldChar w:fldCharType="begin"/>
                  </w:r>
                  <w:r w:rsidR="00C83EF3">
                    <w:instrText xml:space="preserve"> SEQ Graphique_ \* ARABIC </w:instrText>
                  </w:r>
                  <w:r w:rsidR="00C83EF3">
                    <w:fldChar w:fldCharType="separate"/>
                  </w:r>
                  <w:r w:rsidR="00BE2688">
                    <w:rPr>
                      <w:noProof/>
                    </w:rPr>
                    <w:t>1</w:t>
                  </w:r>
                  <w:r w:rsidR="00C83EF3">
                    <w:rPr>
                      <w:noProof/>
                    </w:rPr>
                    <w:fldChar w:fldCharType="end"/>
                  </w:r>
                  <w:r>
                    <w:t xml:space="preserve"> : Opérations de fusions-acquisition en volume et valeur dans les secteurs des services informatiques en France entre 2006 et 2014</w:t>
                  </w:r>
                </w:p>
              </w:txbxContent>
            </v:textbox>
            <w10:wrap type="tight"/>
          </v:shape>
        </w:pict>
      </w:r>
      <w:r w:rsidR="000D3DE1">
        <w:rPr>
          <w:noProof/>
        </w:rPr>
        <w:drawing>
          <wp:anchor distT="0" distB="0" distL="114300" distR="114300" simplePos="0" relativeHeight="251652096" behindDoc="1" locked="0" layoutInCell="1" allowOverlap="1">
            <wp:simplePos x="0" y="0"/>
            <wp:positionH relativeFrom="column">
              <wp:posOffset>-49530</wp:posOffset>
            </wp:positionH>
            <wp:positionV relativeFrom="paragraph">
              <wp:posOffset>-321310</wp:posOffset>
            </wp:positionV>
            <wp:extent cx="9256395" cy="6045200"/>
            <wp:effectExtent l="19050" t="0" r="1905" b="0"/>
            <wp:wrapTight wrapText="bothSides">
              <wp:wrapPolygon edited="0">
                <wp:start x="-44" y="0"/>
                <wp:lineTo x="-44" y="21509"/>
                <wp:lineTo x="21604" y="21509"/>
                <wp:lineTo x="21604" y="0"/>
                <wp:lineTo x="-44"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9256395" cy="6045200"/>
                    </a:xfrm>
                    <a:prstGeom prst="rect">
                      <a:avLst/>
                    </a:prstGeom>
                    <a:noFill/>
                    <a:ln w="9525">
                      <a:noFill/>
                      <a:miter lim="800000"/>
                      <a:headEnd/>
                      <a:tailEnd/>
                    </a:ln>
                  </pic:spPr>
                </pic:pic>
              </a:graphicData>
            </a:graphic>
          </wp:anchor>
        </w:drawing>
      </w:r>
      <w:r w:rsidR="000D3DE1">
        <w:br w:type="page"/>
      </w:r>
    </w:p>
    <w:p w:rsidR="00FC4333" w:rsidRDefault="00FC4333" w:rsidP="00FC4333">
      <w:pPr>
        <w:pStyle w:val="Heading1"/>
      </w:pPr>
      <w:bookmarkStart w:id="25" w:name="_Toc454836341"/>
      <w:r>
        <w:lastRenderedPageBreak/>
        <w:t>Procédures technologiques et innovation</w:t>
      </w:r>
      <w:bookmarkEnd w:id="25"/>
      <w:r>
        <w:t xml:space="preserve">   </w:t>
      </w:r>
    </w:p>
    <w:p w:rsidR="00FC4333" w:rsidRDefault="00443015" w:rsidP="00443015">
      <w:pPr>
        <w:pStyle w:val="Heading2"/>
      </w:pPr>
      <w:bookmarkStart w:id="26" w:name="_Toc454836342"/>
      <w:r>
        <w:t xml:space="preserve">Industrialisation et standardisation </w:t>
      </w:r>
      <w:r w:rsidR="00F10C46">
        <w:t>des services informatiques</w:t>
      </w:r>
      <w:bookmarkEnd w:id="26"/>
      <w:r>
        <w:t xml:space="preserve"> </w:t>
      </w:r>
    </w:p>
    <w:p w:rsidR="00D35E50" w:rsidRDefault="00D35E50" w:rsidP="00D35E50">
      <w:r>
        <w:t xml:space="preserve">L’innovation dans ce secteur n’est pas liée seulement aux technologies de l’information mais surtout aux méthodes d’organisation et de gestion permettant d’optimiser les coûts. En effet, dans ce secteur on trouve d’une part, la pression des clients qui veulent optimiser leurs coûts informatiques. D’autre part la pression des consultants qui veulent toujours gagner plus et leurs menaces de changer l’entreprise est crédible car on constate effectivement un taux de turnover élevé dans les ESN. </w:t>
      </w:r>
    </w:p>
    <w:p w:rsidR="00D35E50" w:rsidRDefault="00D35E50" w:rsidP="00D35E50">
      <w:r>
        <w:t xml:space="preserve">On note principalement des innovations de processus qui visent à optimiser : </w:t>
      </w:r>
    </w:p>
    <w:p w:rsidR="00D35E50" w:rsidRDefault="00D35E50" w:rsidP="00D35E50">
      <w:pPr>
        <w:pStyle w:val="ListParagraph"/>
        <w:numPr>
          <w:ilvl w:val="0"/>
          <w:numId w:val="26"/>
        </w:numPr>
      </w:pPr>
      <w:r w:rsidRPr="00D35E50">
        <w:rPr>
          <w:b/>
          <w:bCs/>
        </w:rPr>
        <w:t>Gestion des ressources humaines</w:t>
      </w:r>
      <w:r>
        <w:t xml:space="preserve"> à travers des politiques d’attraction et de fidélisation des consultants, </w:t>
      </w:r>
    </w:p>
    <w:p w:rsidR="00D35E50" w:rsidRDefault="00D35E50" w:rsidP="00D35E50">
      <w:pPr>
        <w:pStyle w:val="ListParagraph"/>
        <w:numPr>
          <w:ilvl w:val="0"/>
          <w:numId w:val="26"/>
        </w:numPr>
      </w:pPr>
      <w:r>
        <w:t xml:space="preserve">Capitalisation et </w:t>
      </w:r>
      <w:r w:rsidRPr="00D35E50">
        <w:rPr>
          <w:b/>
          <w:bCs/>
        </w:rPr>
        <w:t>gestion de la connaissance</w:t>
      </w:r>
      <w:r>
        <w:t xml:space="preserve"> pour minimiser les effets de turnover élevé, </w:t>
      </w:r>
    </w:p>
    <w:p w:rsidR="00D35E50" w:rsidRDefault="00D35E50" w:rsidP="00D35E50">
      <w:pPr>
        <w:pStyle w:val="ListParagraph"/>
        <w:numPr>
          <w:ilvl w:val="0"/>
          <w:numId w:val="26"/>
        </w:numPr>
      </w:pPr>
      <w:r>
        <w:t xml:space="preserve">Gestion de projets et d’opérations avec des méthodes </w:t>
      </w:r>
      <w:r w:rsidRPr="00D35E50">
        <w:rPr>
          <w:b/>
          <w:bCs/>
        </w:rPr>
        <w:t>Agiles</w:t>
      </w:r>
      <w:r>
        <w:t xml:space="preserve"> et </w:t>
      </w:r>
      <w:r w:rsidRPr="00D35E50">
        <w:rPr>
          <w:b/>
          <w:bCs/>
        </w:rPr>
        <w:t>Lean</w:t>
      </w:r>
      <w:r>
        <w:t xml:space="preserve"> pour optimiser les coûts pour les clients, </w:t>
      </w:r>
    </w:p>
    <w:p w:rsidR="00D35E50" w:rsidRDefault="00D35E50" w:rsidP="00D35E50">
      <w:pPr>
        <w:pStyle w:val="ListParagraph"/>
        <w:numPr>
          <w:ilvl w:val="0"/>
          <w:numId w:val="26"/>
        </w:numPr>
      </w:pPr>
      <w:r>
        <w:t xml:space="preserve">Intégration des processus opérationnels et des processus de développement informatique pour fluidifier la « production » digitale. Il s’agit de la notion de </w:t>
      </w:r>
      <w:r w:rsidRPr="00D35E50">
        <w:rPr>
          <w:b/>
          <w:bCs/>
        </w:rPr>
        <w:t>DevOps</w:t>
      </w:r>
      <w:r>
        <w:t xml:space="preserve">. </w:t>
      </w:r>
    </w:p>
    <w:p w:rsidR="00D35E50" w:rsidRDefault="00D35E50" w:rsidP="00D35E50"/>
    <w:p w:rsidR="00D35E50" w:rsidRDefault="00AB4E72" w:rsidP="00D35E50">
      <w:r>
        <w:t>L</w:t>
      </w:r>
      <w:r w:rsidR="00D35E50" w:rsidRPr="00C22AEB">
        <w:t xml:space="preserve">’activité de conseil </w:t>
      </w:r>
      <w:r>
        <w:t>utilise</w:t>
      </w:r>
      <w:r w:rsidR="00D35E50">
        <w:t xml:space="preserve"> ces innovations qui viennent de l’amont de la filière (</w:t>
      </w:r>
      <w:r w:rsidR="00D35E50" w:rsidRPr="00C22AEB">
        <w:t>éditeurs de logiciel</w:t>
      </w:r>
      <w:r w:rsidR="00D35E50">
        <w:t xml:space="preserve"> et</w:t>
      </w:r>
      <w:r w:rsidR="00D35E50" w:rsidRPr="00C22AEB">
        <w:t xml:space="preserve"> télécoms</w:t>
      </w:r>
      <w:r w:rsidR="00D35E50">
        <w:t xml:space="preserve">) mais le conseil a un rôle important dans l’influence et l’orientation des innovations des technologies de l’information et de la communication. En effet, </w:t>
      </w:r>
      <w:r w:rsidR="00D35E50" w:rsidRPr="001E0302">
        <w:rPr>
          <w:b/>
          <w:bCs/>
        </w:rPr>
        <w:t>le conseil permet d’abord d’écouter et de comprendre le besoin des clients</w:t>
      </w:r>
      <w:r w:rsidR="00D35E50">
        <w:t xml:space="preserve">. Ces besoins sont ensuite remontés aux techniciens qui vont trouver de nouvelles solutions plus efficaces aux problèmes des clients. </w:t>
      </w:r>
    </w:p>
    <w:p w:rsidR="00D35E50" w:rsidRDefault="00D35E50">
      <w:pPr>
        <w:spacing w:before="0" w:after="0"/>
        <w:ind w:left="0"/>
        <w:jc w:val="left"/>
        <w:rPr>
          <w:rFonts w:ascii="Verdana" w:hAnsi="Verdana" w:cs="Times New Roman"/>
          <w:b/>
          <w:bCs/>
          <w:i/>
          <w:iCs/>
          <w:sz w:val="26"/>
          <w:szCs w:val="28"/>
          <w:lang w:eastAsia="en-US"/>
        </w:rPr>
      </w:pPr>
    </w:p>
    <w:p w:rsidR="00443015" w:rsidRDefault="00443015" w:rsidP="00443015">
      <w:pPr>
        <w:pStyle w:val="Heading2"/>
      </w:pPr>
      <w:bookmarkStart w:id="27" w:name="_Toc454836343"/>
      <w:r>
        <w:t>L’innovation dans les services informatiques</w:t>
      </w:r>
      <w:bookmarkEnd w:id="27"/>
      <w:r>
        <w:t xml:space="preserve"> </w:t>
      </w:r>
    </w:p>
    <w:p w:rsidR="00D35E50" w:rsidRDefault="00D35E50" w:rsidP="00D35E50">
      <w:r w:rsidRPr="00C22AEB">
        <w:t>Aujourd’hui les</w:t>
      </w:r>
      <w:r>
        <w:t xml:space="preserve"> prestations de services en conseil tournent autour des tendances qui se résument par l’acronyme SMACSI (Social media, Mobile, Analytics, Cloud computing, cyberSecurity, Internet of Everything) </w:t>
      </w:r>
    </w:p>
    <w:p w:rsidR="00E92DE4" w:rsidRDefault="00E92DE4" w:rsidP="00D35E50"/>
    <w:p w:rsidR="00443015" w:rsidRDefault="00443015" w:rsidP="009C261D"/>
    <w:p w:rsidR="00FC4333" w:rsidRDefault="00FC4333" w:rsidP="00FC4333">
      <w:pPr>
        <w:pStyle w:val="Heading1"/>
      </w:pPr>
      <w:bookmarkStart w:id="28" w:name="_Toc454836344"/>
      <w:r>
        <w:lastRenderedPageBreak/>
        <w:t>Conjoncture</w:t>
      </w:r>
      <w:bookmarkEnd w:id="28"/>
      <w:r>
        <w:t xml:space="preserve">  </w:t>
      </w:r>
    </w:p>
    <w:p w:rsidR="00595D47" w:rsidRDefault="00443015" w:rsidP="00443015">
      <w:pPr>
        <w:pStyle w:val="Heading2"/>
      </w:pPr>
      <w:bookmarkStart w:id="29" w:name="_Toc454836345"/>
      <w:r>
        <w:t>Indice de chiffre d’affaire</w:t>
      </w:r>
      <w:bookmarkEnd w:id="29"/>
      <w:r>
        <w:t xml:space="preserve"> </w:t>
      </w:r>
    </w:p>
    <w:p w:rsidR="00C52F35" w:rsidRDefault="00C52F35" w:rsidP="00B206F4">
      <w:pPr>
        <w:ind w:left="0"/>
      </w:pPr>
      <w:r w:rsidRPr="00507B62">
        <w:t>Le marché de conseil IT est en croissance avec un TCAM de 6,5%. Ce marché croit plus vite que le marché global des TIC à cause des externalisations qui sont de plus en plus importantes. En effet, les externalisations des parties programmations se fait de plus en plus dans les pays à faible coût de main d’oeuvre. Comme la consommation de services informatiques nécessite la consommation de « conseil TIC » au préalable, le chiffre d’affaire des ESN peut être utilisé comme proxy pour comprendre la dynamique de la demande des conseils.</w:t>
      </w:r>
      <w:r w:rsidR="00B206F4">
        <w:t xml:space="preserve"> </w:t>
      </w:r>
    </w:p>
    <w:p w:rsidR="001B7AB9" w:rsidRDefault="001B7AB9" w:rsidP="001B7AB9">
      <w:pPr>
        <w:pStyle w:val="Heading2"/>
      </w:pPr>
      <w:bookmarkStart w:id="30" w:name="_Toc454836346"/>
      <w:r>
        <w:t>Indice des prix des prestations de service</w:t>
      </w:r>
      <w:bookmarkEnd w:id="30"/>
      <w:r>
        <w:t xml:space="preserve"> </w:t>
      </w:r>
    </w:p>
    <w:p w:rsidR="001B7AB9" w:rsidRDefault="001B7AB9" w:rsidP="001B7AB9">
      <w:r>
        <w:t xml:space="preserve">L’indice des prix des prestations de conseil en informatique de l’INSEE du Graphique  </w:t>
      </w:r>
      <w:fldSimple w:instr=" SEQ Graphique_ \* ARABIC ">
        <w:r w:rsidR="00BE2688">
          <w:rPr>
            <w:noProof/>
          </w:rPr>
          <w:t>2</w:t>
        </w:r>
      </w:fldSimple>
      <w:r>
        <w:t xml:space="preserve"> semble être stable sur la période entre 2005 et 2015 avec une légère croissance moyenne de 0.5%. Cet indice cache beaucoup d’hétérogénéité dans les catégories de prestations de services. L’indice de l’INSEE regroupe les deux secteurs 6202A de conseil en informatique et 6202B de maintenance informatique. </w:t>
      </w:r>
    </w:p>
    <w:p w:rsidR="001B7AB9" w:rsidRDefault="001B7AB9" w:rsidP="001B7AB9">
      <w:r>
        <w:t xml:space="preserve">Nous avons donc besoin de plus de détails pour analyser l’évolution des prix des prestations de service appelés TJM (Taux Journalier Moyen). </w:t>
      </w:r>
    </w:p>
    <w:p w:rsidR="001B7AB9" w:rsidRDefault="001B7AB9" w:rsidP="001B7AB9">
      <w:r w:rsidRPr="009C3587">
        <w:rPr>
          <w:noProof/>
        </w:rPr>
        <w:drawing>
          <wp:inline distT="0" distB="0" distL="0" distR="0" wp14:anchorId="23848B1A" wp14:editId="2ED9263C">
            <wp:extent cx="9251950" cy="1825158"/>
            <wp:effectExtent l="19050" t="0" r="6350"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9251950" cy="1825158"/>
                    </a:xfrm>
                    <a:prstGeom prst="rect">
                      <a:avLst/>
                    </a:prstGeom>
                    <a:noFill/>
                    <a:ln w="9525">
                      <a:noFill/>
                      <a:miter lim="800000"/>
                      <a:headEnd/>
                      <a:tailEnd/>
                    </a:ln>
                  </pic:spPr>
                </pic:pic>
              </a:graphicData>
            </a:graphic>
          </wp:inline>
        </w:drawing>
      </w:r>
    </w:p>
    <w:p w:rsidR="001B7AB9" w:rsidRDefault="001B7AB9" w:rsidP="001B7AB9">
      <w:r>
        <w:t xml:space="preserve">L’étude 2015 de l’observatoire des prix de PAC, dont la partie liée à notre secteur est résumé dans le tableau ci-dessus, nous a permis d’analyser de plus près l’évolution des prix des prestations de service de conseil entre 2014 et 2015 mais nous n’avons pas des informations sur une plus longue période. Les TJM ont augmenté de 1,6% en moyenne entre 2014 et 2015. Cette évolution s’explique par le contexte favorable de digitalisation de l’économie. En effet, les clients n’ont pas les compétences nécessaires en interne. De plus, ce marché en croissance favoris les prestations de conseil qui sont en amont de la chaine de valeur des services IT. </w:t>
      </w:r>
    </w:p>
    <w:p w:rsidR="00B206F4" w:rsidRDefault="00B206F4" w:rsidP="00C52F35">
      <w:pPr>
        <w:ind w:left="0"/>
      </w:pPr>
    </w:p>
    <w:p w:rsidR="009C3587" w:rsidRDefault="00C83EF3" w:rsidP="001B7AB9">
      <w:pPr>
        <w:ind w:left="0"/>
      </w:pPr>
      <w:r>
        <w:rPr>
          <w:noProof/>
        </w:rPr>
        <w:lastRenderedPageBreak/>
        <w:pict>
          <v:shape id="_x0000_s1026" type="#_x0000_t202" style="position:absolute;left:0;text-align:left;margin-left:9.4pt;margin-top:459pt;width:629.9pt;height:23.5pt;z-index:251658240" wrapcoords="-21 0 -21 20945 21600 20945 21600 0 -21 0" stroked="f">
            <v:textbox style="mso-next-textbox:#_x0000_s1026;mso-fit-shape-to-text:t" inset="0,0,0,0">
              <w:txbxContent>
                <w:p w:rsidR="003E7DA7" w:rsidRPr="00BD751F" w:rsidRDefault="003E7DA7" w:rsidP="00B206F4">
                  <w:pPr>
                    <w:pStyle w:val="Caption"/>
                  </w:pPr>
                  <w:bookmarkStart w:id="31" w:name="_Ref451798482"/>
                  <w:r>
                    <w:t xml:space="preserve">Graphique  </w:t>
                  </w:r>
                  <w:r w:rsidR="00C83EF3">
                    <w:fldChar w:fldCharType="begin"/>
                  </w:r>
                  <w:r w:rsidR="00C83EF3">
                    <w:instrText xml:space="preserve"> SEQ Graphique_ \* ARABIC </w:instrText>
                  </w:r>
                  <w:r w:rsidR="00C83EF3">
                    <w:fldChar w:fldCharType="separate"/>
                  </w:r>
                  <w:r w:rsidR="00BE2688">
                    <w:rPr>
                      <w:noProof/>
                    </w:rPr>
                    <w:t>3</w:t>
                  </w:r>
                  <w:r w:rsidR="00C83EF3">
                    <w:rPr>
                      <w:noProof/>
                    </w:rPr>
                    <w:fldChar w:fldCharType="end"/>
                  </w:r>
                  <w:bookmarkEnd w:id="31"/>
                  <w:r>
                    <w:t xml:space="preserve"> : </w:t>
                  </w:r>
                  <w:r w:rsidRPr="008164C2">
                    <w:t>Indice de chiffre d'affaires en valeur - Conseil en systèmes et logiciels informatiques (62.02A)</w:t>
                  </w:r>
                </w:p>
              </w:txbxContent>
            </v:textbox>
            <w10:wrap type="tight"/>
          </v:shape>
        </w:pict>
      </w:r>
      <w:r w:rsidR="009C3587">
        <w:rPr>
          <w:noProof/>
        </w:rPr>
        <w:drawing>
          <wp:anchor distT="0" distB="0" distL="114300" distR="114300" simplePos="0" relativeHeight="251649024" behindDoc="1" locked="0" layoutInCell="1" allowOverlap="1">
            <wp:simplePos x="0" y="0"/>
            <wp:positionH relativeFrom="column">
              <wp:posOffset>34925</wp:posOffset>
            </wp:positionH>
            <wp:positionV relativeFrom="paragraph">
              <wp:posOffset>-321310</wp:posOffset>
            </wp:positionV>
            <wp:extent cx="9201150" cy="6002655"/>
            <wp:effectExtent l="19050" t="0" r="0" b="0"/>
            <wp:wrapTight wrapText="bothSides">
              <wp:wrapPolygon edited="0">
                <wp:start x="-45" y="0"/>
                <wp:lineTo x="-45" y="21525"/>
                <wp:lineTo x="21600" y="21525"/>
                <wp:lineTo x="21600" y="0"/>
                <wp:lineTo x="-45" y="0"/>
              </wp:wrapPolygon>
            </wp:wrapTight>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9201150" cy="6002655"/>
                    </a:xfrm>
                    <a:prstGeom prst="rect">
                      <a:avLst/>
                    </a:prstGeom>
                    <a:noFill/>
                    <a:ln w="9525">
                      <a:noFill/>
                      <a:miter lim="800000"/>
                      <a:headEnd/>
                      <a:tailEnd/>
                    </a:ln>
                  </pic:spPr>
                </pic:pic>
              </a:graphicData>
            </a:graphic>
          </wp:anchor>
        </w:drawing>
      </w:r>
    </w:p>
    <w:p w:rsidR="009C3587" w:rsidRPr="00595D47" w:rsidRDefault="00C83EF3" w:rsidP="00C739C3">
      <w:r>
        <w:rPr>
          <w:noProof/>
        </w:rPr>
        <w:lastRenderedPageBreak/>
        <w:pict>
          <v:shape id="_x0000_s1027" type="#_x0000_t202" style="position:absolute;left:0;text-align:left;margin-left:4.15pt;margin-top:451pt;width:687.15pt;height:23.5pt;z-index:251659264" wrapcoords="-21 0 -21 20945 21600 20945 21600 0 -21 0" stroked="f">
            <v:textbox style="mso-next-textbox:#_x0000_s1027;mso-fit-shape-to-text:t" inset="0,0,0,0">
              <w:txbxContent>
                <w:p w:rsidR="003E7DA7" w:rsidRPr="006E2949" w:rsidRDefault="003E7DA7" w:rsidP="009C3587">
                  <w:pPr>
                    <w:pStyle w:val="Caption"/>
                    <w:rPr>
                      <w:noProof/>
                    </w:rPr>
                  </w:pPr>
                  <w:r>
                    <w:t xml:space="preserve">Graphique  </w:t>
                  </w:r>
                  <w:r w:rsidR="00C83EF3">
                    <w:fldChar w:fldCharType="begin"/>
                  </w:r>
                  <w:r w:rsidR="00C83EF3">
                    <w:instrText xml:space="preserve"> SEQ Graphique_ \* ARABIC </w:instrText>
                  </w:r>
                  <w:r w:rsidR="00C83EF3">
                    <w:fldChar w:fldCharType="separate"/>
                  </w:r>
                  <w:r w:rsidR="00BE2688">
                    <w:rPr>
                      <w:noProof/>
                    </w:rPr>
                    <w:t>4</w:t>
                  </w:r>
                  <w:r w:rsidR="00C83EF3">
                    <w:rPr>
                      <w:noProof/>
                    </w:rPr>
                    <w:fldChar w:fldCharType="end"/>
                  </w:r>
                  <w:r>
                    <w:t xml:space="preserve"> : Agrégation des indices de prix des secteurs 6202A et 6202B</w:t>
                  </w:r>
                </w:p>
              </w:txbxContent>
            </v:textbox>
            <w10:wrap type="tight"/>
          </v:shape>
        </w:pict>
      </w:r>
      <w:r w:rsidR="003949AC">
        <w:rPr>
          <w:noProof/>
        </w:rPr>
        <w:drawing>
          <wp:anchor distT="0" distB="0" distL="114300" distR="114300" simplePos="0" relativeHeight="251650048" behindDoc="1" locked="0" layoutInCell="1" allowOverlap="1">
            <wp:simplePos x="0" y="0"/>
            <wp:positionH relativeFrom="column">
              <wp:posOffset>26670</wp:posOffset>
            </wp:positionH>
            <wp:positionV relativeFrom="paragraph">
              <wp:posOffset>-372110</wp:posOffset>
            </wp:positionV>
            <wp:extent cx="9205595" cy="6036310"/>
            <wp:effectExtent l="19050" t="0" r="0" b="0"/>
            <wp:wrapTight wrapText="bothSides">
              <wp:wrapPolygon edited="0">
                <wp:start x="-45" y="0"/>
                <wp:lineTo x="-45" y="21541"/>
                <wp:lineTo x="21590" y="21541"/>
                <wp:lineTo x="21590" y="0"/>
                <wp:lineTo x="-45"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9205595" cy="6036310"/>
                    </a:xfrm>
                    <a:prstGeom prst="rect">
                      <a:avLst/>
                    </a:prstGeom>
                    <a:noFill/>
                    <a:ln w="9525">
                      <a:noFill/>
                      <a:miter lim="800000"/>
                      <a:headEnd/>
                      <a:tailEnd/>
                    </a:ln>
                  </pic:spPr>
                </pic:pic>
              </a:graphicData>
            </a:graphic>
          </wp:anchor>
        </w:drawing>
      </w:r>
    </w:p>
    <w:p w:rsidR="00FC4333" w:rsidRDefault="00FC4333" w:rsidP="00FC4333">
      <w:pPr>
        <w:pStyle w:val="Heading1"/>
      </w:pPr>
      <w:bookmarkStart w:id="32" w:name="_Ref451797590"/>
      <w:bookmarkStart w:id="33" w:name="_Toc454836347"/>
      <w:r>
        <w:lastRenderedPageBreak/>
        <w:t>Place du secteur dans l’économie</w:t>
      </w:r>
      <w:bookmarkEnd w:id="32"/>
      <w:bookmarkEnd w:id="33"/>
      <w:r>
        <w:t xml:space="preserve"> </w:t>
      </w:r>
    </w:p>
    <w:tbl>
      <w:tblPr>
        <w:tblW w:w="14220" w:type="dxa"/>
        <w:tblInd w:w="70" w:type="dxa"/>
        <w:tblCellMar>
          <w:left w:w="70" w:type="dxa"/>
          <w:right w:w="70" w:type="dxa"/>
        </w:tblCellMar>
        <w:tblLook w:val="04A0" w:firstRow="1" w:lastRow="0" w:firstColumn="1" w:lastColumn="0" w:noHBand="0" w:noVBand="1"/>
      </w:tblPr>
      <w:tblGrid>
        <w:gridCol w:w="3000"/>
        <w:gridCol w:w="1020"/>
        <w:gridCol w:w="1020"/>
        <w:gridCol w:w="1020"/>
        <w:gridCol w:w="1020"/>
        <w:gridCol w:w="1020"/>
        <w:gridCol w:w="1020"/>
        <w:gridCol w:w="1020"/>
        <w:gridCol w:w="1020"/>
        <w:gridCol w:w="1020"/>
        <w:gridCol w:w="1020"/>
        <w:gridCol w:w="1020"/>
      </w:tblGrid>
      <w:tr w:rsidR="00190A3C" w:rsidRPr="00190A3C" w:rsidTr="00190A3C">
        <w:trPr>
          <w:trHeight w:val="510"/>
        </w:trPr>
        <w:tc>
          <w:tcPr>
            <w:tcW w:w="3000" w:type="dxa"/>
            <w:tcBorders>
              <w:top w:val="nil"/>
              <w:left w:val="nil"/>
              <w:bottom w:val="nil"/>
              <w:right w:val="nil"/>
            </w:tcBorders>
            <w:shd w:val="clear" w:color="auto" w:fill="auto"/>
            <w:vAlign w:val="center"/>
            <w:hideMark/>
          </w:tcPr>
          <w:p w:rsidR="00190A3C" w:rsidRPr="00190A3C" w:rsidRDefault="00190A3C" w:rsidP="00190A3C">
            <w:pPr>
              <w:spacing w:before="0" w:after="0"/>
              <w:ind w:left="0"/>
              <w:jc w:val="left"/>
              <w:rPr>
                <w:rFonts w:ascii="Times New Roman" w:hAnsi="Times New Roman" w:cs="Times New Roman"/>
                <w:sz w:val="20"/>
                <w:szCs w:val="24"/>
              </w:rPr>
            </w:pPr>
          </w:p>
        </w:tc>
        <w:tc>
          <w:tcPr>
            <w:tcW w:w="1020" w:type="dxa"/>
            <w:tcBorders>
              <w:top w:val="nil"/>
              <w:left w:val="nil"/>
              <w:bottom w:val="nil"/>
              <w:right w:val="nil"/>
            </w:tcBorders>
            <w:shd w:val="clear" w:color="auto" w:fill="auto"/>
            <w:vAlign w:val="center"/>
            <w:hideMark/>
          </w:tcPr>
          <w:p w:rsidR="00190A3C" w:rsidRPr="00190A3C" w:rsidRDefault="00190A3C" w:rsidP="00190A3C">
            <w:pPr>
              <w:spacing w:before="0" w:after="0"/>
              <w:ind w:left="0"/>
              <w:jc w:val="left"/>
              <w:rPr>
                <w:rFonts w:ascii="Times New Roman" w:hAnsi="Times New Roman" w:cs="Times New Roman"/>
                <w:sz w:val="20"/>
              </w:rPr>
            </w:pPr>
          </w:p>
        </w:tc>
        <w:tc>
          <w:tcPr>
            <w:tcW w:w="10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Unités légales</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Effectifs (ETP)</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CA. (HT)</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Export.</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Valeur ajoutée</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Frais de personnel</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EBE</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CAF</w:t>
            </w:r>
          </w:p>
        </w:tc>
        <w:tc>
          <w:tcPr>
            <w:tcW w:w="1020" w:type="dxa"/>
            <w:tcBorders>
              <w:top w:val="single" w:sz="8" w:space="0" w:color="auto"/>
              <w:left w:val="nil"/>
              <w:bottom w:val="single" w:sz="4"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RCAI</w:t>
            </w:r>
          </w:p>
        </w:tc>
        <w:tc>
          <w:tcPr>
            <w:tcW w:w="1020" w:type="dxa"/>
            <w:tcBorders>
              <w:top w:val="single" w:sz="8" w:space="0" w:color="auto"/>
              <w:left w:val="nil"/>
              <w:bottom w:val="single" w:sz="4" w:space="0" w:color="auto"/>
              <w:right w:val="single" w:sz="8"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RN</w:t>
            </w:r>
          </w:p>
        </w:tc>
      </w:tr>
      <w:tr w:rsidR="00190A3C" w:rsidRPr="00190A3C" w:rsidTr="00190A3C">
        <w:trPr>
          <w:trHeight w:val="270"/>
        </w:trPr>
        <w:tc>
          <w:tcPr>
            <w:tcW w:w="3000" w:type="dxa"/>
            <w:tcBorders>
              <w:top w:val="nil"/>
              <w:left w:val="nil"/>
              <w:bottom w:val="nil"/>
              <w:right w:val="nil"/>
            </w:tcBorders>
            <w:shd w:val="clear" w:color="auto" w:fill="auto"/>
            <w:vAlign w:val="center"/>
            <w:hideMark/>
          </w:tcPr>
          <w:p w:rsidR="00190A3C" w:rsidRPr="00190A3C" w:rsidRDefault="00190A3C" w:rsidP="00190A3C">
            <w:pPr>
              <w:spacing w:before="0" w:after="0"/>
              <w:ind w:left="0"/>
              <w:jc w:val="center"/>
              <w:rPr>
                <w:color w:val="000000"/>
                <w:sz w:val="20"/>
              </w:rPr>
            </w:pPr>
          </w:p>
        </w:tc>
        <w:tc>
          <w:tcPr>
            <w:tcW w:w="1020" w:type="dxa"/>
            <w:tcBorders>
              <w:top w:val="single" w:sz="4" w:space="0" w:color="auto"/>
              <w:left w:val="single" w:sz="4" w:space="0" w:color="auto"/>
              <w:bottom w:val="nil"/>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Unité</w:t>
            </w:r>
          </w:p>
        </w:tc>
        <w:tc>
          <w:tcPr>
            <w:tcW w:w="1020" w:type="dxa"/>
            <w:tcBorders>
              <w:top w:val="nil"/>
              <w:left w:val="single" w:sz="8" w:space="0" w:color="auto"/>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Nombre</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ETP</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4"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c>
          <w:tcPr>
            <w:tcW w:w="1020" w:type="dxa"/>
            <w:tcBorders>
              <w:top w:val="nil"/>
              <w:left w:val="nil"/>
              <w:bottom w:val="single" w:sz="8" w:space="0" w:color="auto"/>
              <w:right w:val="single" w:sz="8" w:space="0" w:color="auto"/>
            </w:tcBorders>
            <w:shd w:val="clear" w:color="000000" w:fill="F2F2F2"/>
            <w:vAlign w:val="center"/>
            <w:hideMark/>
          </w:tcPr>
          <w:p w:rsidR="00190A3C" w:rsidRPr="00190A3C" w:rsidRDefault="00190A3C" w:rsidP="00190A3C">
            <w:pPr>
              <w:spacing w:before="0" w:after="0"/>
              <w:ind w:left="0"/>
              <w:jc w:val="center"/>
              <w:rPr>
                <w:color w:val="000000"/>
                <w:sz w:val="20"/>
              </w:rPr>
            </w:pPr>
            <w:r w:rsidRPr="00190A3C">
              <w:rPr>
                <w:color w:val="000000"/>
                <w:sz w:val="20"/>
              </w:rPr>
              <w:t>Million €</w:t>
            </w:r>
          </w:p>
        </w:tc>
      </w:tr>
      <w:tr w:rsidR="00190A3C" w:rsidRPr="00190A3C" w:rsidTr="00190A3C">
        <w:trPr>
          <w:trHeight w:val="450"/>
        </w:trPr>
        <w:tc>
          <w:tcPr>
            <w:tcW w:w="3000" w:type="dxa"/>
            <w:vMerge w:val="restart"/>
            <w:tcBorders>
              <w:top w:val="single" w:sz="8" w:space="0" w:color="auto"/>
              <w:left w:val="single" w:sz="8" w:space="0" w:color="auto"/>
              <w:bottom w:val="single" w:sz="8" w:space="0" w:color="000000"/>
              <w:right w:val="nil"/>
            </w:tcBorders>
            <w:shd w:val="clear" w:color="000000" w:fill="F2F2F2"/>
            <w:vAlign w:val="center"/>
            <w:hideMark/>
          </w:tcPr>
          <w:p w:rsidR="00190A3C" w:rsidRPr="00190A3C" w:rsidRDefault="00190A3C" w:rsidP="00190A3C">
            <w:pPr>
              <w:spacing w:before="0" w:after="0"/>
              <w:ind w:left="0"/>
              <w:jc w:val="left"/>
              <w:rPr>
                <w:color w:val="000000"/>
                <w:sz w:val="20"/>
              </w:rPr>
            </w:pPr>
            <w:r w:rsidRPr="00190A3C">
              <w:rPr>
                <w:color w:val="000000"/>
                <w:sz w:val="20"/>
              </w:rPr>
              <w:t xml:space="preserve">Section J : </w:t>
            </w:r>
            <w:r w:rsidRPr="00190A3C">
              <w:rPr>
                <w:color w:val="000000"/>
                <w:sz w:val="20"/>
              </w:rPr>
              <w:br/>
              <w:t>Information et communication</w:t>
            </w:r>
          </w:p>
        </w:tc>
        <w:tc>
          <w:tcPr>
            <w:tcW w:w="1020" w:type="dxa"/>
            <w:tcBorders>
              <w:top w:val="single" w:sz="8" w:space="0" w:color="auto"/>
              <w:left w:val="single" w:sz="4" w:space="0" w:color="auto"/>
              <w:bottom w:val="single" w:sz="4" w:space="0" w:color="auto"/>
              <w:right w:val="single" w:sz="8" w:space="0" w:color="auto"/>
            </w:tcBorders>
            <w:shd w:val="clear" w:color="000000" w:fill="F2F2F2"/>
            <w:vAlign w:val="center"/>
            <w:hideMark/>
          </w:tcPr>
          <w:p w:rsidR="00190A3C" w:rsidRPr="00190A3C" w:rsidRDefault="00190A3C" w:rsidP="00190A3C">
            <w:pPr>
              <w:spacing w:before="0" w:after="0"/>
              <w:ind w:left="0"/>
              <w:jc w:val="right"/>
              <w:rPr>
                <w:color w:val="000000"/>
                <w:sz w:val="20"/>
              </w:rPr>
            </w:pPr>
            <w:r w:rsidRPr="00190A3C">
              <w:rPr>
                <w:color w:val="000000"/>
                <w:sz w:val="20"/>
              </w:rPr>
              <w:t>En valeur</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138 131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666 888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172 985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19 835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79 374   </w:t>
            </w:r>
          </w:p>
        </w:tc>
        <w:tc>
          <w:tcPr>
            <w:tcW w:w="1020" w:type="dxa"/>
            <w:tcBorders>
              <w:top w:val="nil"/>
              <w:left w:val="nil"/>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50 654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25 273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22 724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10 785   </w:t>
            </w:r>
          </w:p>
        </w:tc>
        <w:tc>
          <w:tcPr>
            <w:tcW w:w="1020" w:type="dxa"/>
            <w:tcBorders>
              <w:top w:val="nil"/>
              <w:left w:val="single" w:sz="4" w:space="0" w:color="auto"/>
              <w:bottom w:val="single" w:sz="4" w:space="0" w:color="auto"/>
              <w:right w:val="single" w:sz="8"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5 242   </w:t>
            </w:r>
          </w:p>
        </w:tc>
      </w:tr>
      <w:tr w:rsidR="00190A3C" w:rsidRPr="00190A3C" w:rsidTr="00190A3C">
        <w:trPr>
          <w:trHeight w:val="450"/>
        </w:trPr>
        <w:tc>
          <w:tcPr>
            <w:tcW w:w="3000" w:type="dxa"/>
            <w:vMerge/>
            <w:tcBorders>
              <w:top w:val="single" w:sz="8" w:space="0" w:color="auto"/>
              <w:left w:val="single" w:sz="8" w:space="0" w:color="auto"/>
              <w:bottom w:val="single" w:sz="8" w:space="0" w:color="000000"/>
              <w:right w:val="nil"/>
            </w:tcBorders>
            <w:vAlign w:val="center"/>
            <w:hideMark/>
          </w:tcPr>
          <w:p w:rsidR="00190A3C" w:rsidRPr="00190A3C" w:rsidRDefault="00190A3C" w:rsidP="00190A3C">
            <w:pPr>
              <w:spacing w:before="0" w:after="0"/>
              <w:ind w:left="0"/>
              <w:jc w:val="left"/>
              <w:rPr>
                <w:color w:val="000000"/>
                <w:sz w:val="20"/>
              </w:rPr>
            </w:pPr>
          </w:p>
        </w:tc>
        <w:tc>
          <w:tcPr>
            <w:tcW w:w="1020" w:type="dxa"/>
            <w:tcBorders>
              <w:top w:val="nil"/>
              <w:left w:val="single" w:sz="4" w:space="0" w:color="auto"/>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right"/>
              <w:rPr>
                <w:color w:val="000000"/>
                <w:sz w:val="20"/>
              </w:rPr>
            </w:pPr>
            <w:r w:rsidRPr="00190A3C">
              <w:rPr>
                <w:color w:val="000000"/>
                <w:sz w:val="20"/>
              </w:rPr>
              <w:t>En %</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28%</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28%</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17%</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15%</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20%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27%</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6%</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14%</w:t>
            </w:r>
          </w:p>
        </w:tc>
        <w:tc>
          <w:tcPr>
            <w:tcW w:w="1020" w:type="dxa"/>
            <w:tcBorders>
              <w:top w:val="nil"/>
              <w:left w:val="nil"/>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25%</w:t>
            </w:r>
          </w:p>
        </w:tc>
      </w:tr>
      <w:tr w:rsidR="00190A3C" w:rsidRPr="00190A3C" w:rsidTr="00190A3C">
        <w:trPr>
          <w:trHeight w:val="450"/>
        </w:trPr>
        <w:tc>
          <w:tcPr>
            <w:tcW w:w="3000" w:type="dxa"/>
            <w:vMerge w:val="restart"/>
            <w:tcBorders>
              <w:top w:val="nil"/>
              <w:left w:val="single" w:sz="8" w:space="0" w:color="auto"/>
              <w:bottom w:val="single" w:sz="8" w:space="0" w:color="000000"/>
              <w:right w:val="nil"/>
            </w:tcBorders>
            <w:shd w:val="clear" w:color="000000" w:fill="F2F2F2"/>
            <w:vAlign w:val="center"/>
            <w:hideMark/>
          </w:tcPr>
          <w:p w:rsidR="00190A3C" w:rsidRPr="00190A3C" w:rsidRDefault="00190A3C" w:rsidP="00190A3C">
            <w:pPr>
              <w:spacing w:before="0" w:after="0"/>
              <w:ind w:left="0"/>
              <w:jc w:val="left"/>
              <w:rPr>
                <w:color w:val="000000"/>
                <w:sz w:val="20"/>
              </w:rPr>
            </w:pPr>
            <w:r w:rsidRPr="00190A3C">
              <w:rPr>
                <w:color w:val="000000"/>
                <w:sz w:val="20"/>
              </w:rPr>
              <w:t xml:space="preserve">Division 62 : </w:t>
            </w:r>
            <w:r w:rsidRPr="00190A3C">
              <w:rPr>
                <w:color w:val="000000"/>
                <w:sz w:val="20"/>
              </w:rPr>
              <w:br/>
              <w:t>Programmation, conseil et autres activités informatiques</w:t>
            </w:r>
          </w:p>
        </w:tc>
        <w:tc>
          <w:tcPr>
            <w:tcW w:w="1020" w:type="dxa"/>
            <w:tcBorders>
              <w:top w:val="nil"/>
              <w:left w:val="single" w:sz="4" w:space="0" w:color="auto"/>
              <w:bottom w:val="single" w:sz="4" w:space="0" w:color="auto"/>
              <w:right w:val="single" w:sz="8" w:space="0" w:color="auto"/>
            </w:tcBorders>
            <w:shd w:val="clear" w:color="000000" w:fill="F2F2F2"/>
            <w:vAlign w:val="center"/>
            <w:hideMark/>
          </w:tcPr>
          <w:p w:rsidR="00190A3C" w:rsidRPr="00190A3C" w:rsidRDefault="00190A3C" w:rsidP="00190A3C">
            <w:pPr>
              <w:spacing w:before="0" w:after="0"/>
              <w:ind w:left="0"/>
              <w:jc w:val="right"/>
              <w:rPr>
                <w:color w:val="000000"/>
                <w:sz w:val="20"/>
              </w:rPr>
            </w:pPr>
            <w:r w:rsidRPr="00190A3C">
              <w:rPr>
                <w:color w:val="000000"/>
                <w:sz w:val="20"/>
              </w:rPr>
              <w:t>En valeur</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78 260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298 707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53 314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6 971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27 222   </w:t>
            </w:r>
          </w:p>
        </w:tc>
        <w:tc>
          <w:tcPr>
            <w:tcW w:w="1020" w:type="dxa"/>
            <w:tcBorders>
              <w:top w:val="nil"/>
              <w:left w:val="nil"/>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22 485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3 679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3 644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2 558   </w:t>
            </w:r>
          </w:p>
        </w:tc>
        <w:tc>
          <w:tcPr>
            <w:tcW w:w="1020" w:type="dxa"/>
            <w:tcBorders>
              <w:top w:val="nil"/>
              <w:left w:val="single" w:sz="4" w:space="0" w:color="auto"/>
              <w:bottom w:val="single" w:sz="4" w:space="0" w:color="auto"/>
              <w:right w:val="single" w:sz="8"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1 841   </w:t>
            </w:r>
          </w:p>
        </w:tc>
      </w:tr>
      <w:tr w:rsidR="00190A3C" w:rsidRPr="00190A3C" w:rsidTr="00190A3C">
        <w:trPr>
          <w:trHeight w:val="450"/>
        </w:trPr>
        <w:tc>
          <w:tcPr>
            <w:tcW w:w="3000" w:type="dxa"/>
            <w:vMerge/>
            <w:tcBorders>
              <w:top w:val="nil"/>
              <w:left w:val="single" w:sz="8" w:space="0" w:color="auto"/>
              <w:bottom w:val="single" w:sz="8" w:space="0" w:color="000000"/>
              <w:right w:val="nil"/>
            </w:tcBorders>
            <w:vAlign w:val="center"/>
            <w:hideMark/>
          </w:tcPr>
          <w:p w:rsidR="00190A3C" w:rsidRPr="00190A3C" w:rsidRDefault="00190A3C" w:rsidP="00190A3C">
            <w:pPr>
              <w:spacing w:before="0" w:after="0"/>
              <w:ind w:left="0"/>
              <w:jc w:val="left"/>
              <w:rPr>
                <w:color w:val="000000"/>
                <w:sz w:val="20"/>
              </w:rPr>
            </w:pPr>
          </w:p>
        </w:tc>
        <w:tc>
          <w:tcPr>
            <w:tcW w:w="1020" w:type="dxa"/>
            <w:tcBorders>
              <w:top w:val="nil"/>
              <w:left w:val="single" w:sz="4" w:space="0" w:color="auto"/>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right"/>
              <w:rPr>
                <w:color w:val="000000"/>
                <w:sz w:val="20"/>
              </w:rPr>
            </w:pPr>
            <w:r w:rsidRPr="00190A3C">
              <w:rPr>
                <w:color w:val="000000"/>
                <w:sz w:val="20"/>
              </w:rPr>
              <w:t>En %</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49%</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62%</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55%</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42%</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58%</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61%</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43%</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49%</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59%</w:t>
            </w:r>
          </w:p>
        </w:tc>
        <w:tc>
          <w:tcPr>
            <w:tcW w:w="1020" w:type="dxa"/>
            <w:tcBorders>
              <w:top w:val="nil"/>
              <w:left w:val="nil"/>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72%</w:t>
            </w:r>
          </w:p>
        </w:tc>
      </w:tr>
      <w:tr w:rsidR="00190A3C" w:rsidRPr="00190A3C" w:rsidTr="00190A3C">
        <w:trPr>
          <w:trHeight w:val="450"/>
        </w:trPr>
        <w:tc>
          <w:tcPr>
            <w:tcW w:w="3000" w:type="dxa"/>
            <w:vMerge w:val="restart"/>
            <w:tcBorders>
              <w:top w:val="nil"/>
              <w:left w:val="single" w:sz="8" w:space="0" w:color="auto"/>
              <w:bottom w:val="single" w:sz="8" w:space="0" w:color="000000"/>
              <w:right w:val="nil"/>
            </w:tcBorders>
            <w:shd w:val="clear" w:color="000000" w:fill="F2F2F2"/>
            <w:vAlign w:val="center"/>
            <w:hideMark/>
          </w:tcPr>
          <w:p w:rsidR="00190A3C" w:rsidRPr="00190A3C" w:rsidRDefault="00190A3C" w:rsidP="00190A3C">
            <w:pPr>
              <w:spacing w:before="0" w:after="0"/>
              <w:ind w:left="0"/>
              <w:jc w:val="left"/>
              <w:rPr>
                <w:color w:val="000000"/>
                <w:sz w:val="20"/>
              </w:rPr>
            </w:pPr>
            <w:r w:rsidRPr="00190A3C">
              <w:rPr>
                <w:color w:val="000000"/>
                <w:sz w:val="20"/>
              </w:rPr>
              <w:t xml:space="preserve">Groupe 620 : </w:t>
            </w:r>
            <w:r w:rsidRPr="00190A3C">
              <w:rPr>
                <w:color w:val="000000"/>
                <w:sz w:val="20"/>
              </w:rPr>
              <w:br/>
              <w:t>Programmation, conseil et autres activités informatiques</w:t>
            </w:r>
          </w:p>
        </w:tc>
        <w:tc>
          <w:tcPr>
            <w:tcW w:w="1020" w:type="dxa"/>
            <w:tcBorders>
              <w:top w:val="nil"/>
              <w:left w:val="single" w:sz="4" w:space="0" w:color="auto"/>
              <w:bottom w:val="single" w:sz="4" w:space="0" w:color="auto"/>
              <w:right w:val="single" w:sz="8" w:space="0" w:color="auto"/>
            </w:tcBorders>
            <w:shd w:val="clear" w:color="000000" w:fill="F2F2F2"/>
            <w:vAlign w:val="center"/>
            <w:hideMark/>
          </w:tcPr>
          <w:p w:rsidR="00190A3C" w:rsidRPr="00190A3C" w:rsidRDefault="00190A3C" w:rsidP="00190A3C">
            <w:pPr>
              <w:spacing w:before="0" w:after="0"/>
              <w:ind w:left="0"/>
              <w:jc w:val="right"/>
              <w:rPr>
                <w:color w:val="000000"/>
                <w:sz w:val="20"/>
              </w:rPr>
            </w:pPr>
            <w:r w:rsidRPr="00190A3C">
              <w:rPr>
                <w:color w:val="000000"/>
                <w:sz w:val="20"/>
              </w:rPr>
              <w:t>En valeur</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78 260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298 707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53 314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6 971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27 222   </w:t>
            </w:r>
          </w:p>
        </w:tc>
        <w:tc>
          <w:tcPr>
            <w:tcW w:w="1020" w:type="dxa"/>
            <w:tcBorders>
              <w:top w:val="nil"/>
              <w:left w:val="nil"/>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22 485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3 679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3 644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2 558   </w:t>
            </w:r>
          </w:p>
        </w:tc>
        <w:tc>
          <w:tcPr>
            <w:tcW w:w="1020" w:type="dxa"/>
            <w:tcBorders>
              <w:top w:val="nil"/>
              <w:left w:val="single" w:sz="4" w:space="0" w:color="auto"/>
              <w:bottom w:val="single" w:sz="4" w:space="0" w:color="auto"/>
              <w:right w:val="single" w:sz="8"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1 841   </w:t>
            </w:r>
          </w:p>
        </w:tc>
      </w:tr>
      <w:tr w:rsidR="00190A3C" w:rsidRPr="00190A3C" w:rsidTr="00190A3C">
        <w:trPr>
          <w:trHeight w:val="450"/>
        </w:trPr>
        <w:tc>
          <w:tcPr>
            <w:tcW w:w="3000" w:type="dxa"/>
            <w:vMerge/>
            <w:tcBorders>
              <w:top w:val="nil"/>
              <w:left w:val="single" w:sz="8" w:space="0" w:color="auto"/>
              <w:bottom w:val="single" w:sz="8" w:space="0" w:color="000000"/>
              <w:right w:val="nil"/>
            </w:tcBorders>
            <w:vAlign w:val="center"/>
            <w:hideMark/>
          </w:tcPr>
          <w:p w:rsidR="00190A3C" w:rsidRPr="00190A3C" w:rsidRDefault="00190A3C" w:rsidP="00190A3C">
            <w:pPr>
              <w:spacing w:before="0" w:after="0"/>
              <w:ind w:left="0"/>
              <w:jc w:val="left"/>
              <w:rPr>
                <w:color w:val="000000"/>
                <w:sz w:val="20"/>
              </w:rPr>
            </w:pPr>
          </w:p>
        </w:tc>
        <w:tc>
          <w:tcPr>
            <w:tcW w:w="1020" w:type="dxa"/>
            <w:tcBorders>
              <w:top w:val="nil"/>
              <w:left w:val="single" w:sz="4" w:space="0" w:color="auto"/>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right"/>
              <w:rPr>
                <w:color w:val="000000"/>
                <w:sz w:val="20"/>
              </w:rPr>
            </w:pPr>
            <w:r w:rsidRPr="00190A3C">
              <w:rPr>
                <w:color w:val="000000"/>
                <w:sz w:val="20"/>
              </w:rPr>
              <w:t>En %</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49%</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62%</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55%</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42%</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58%</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61%</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43%</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49%</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59%</w:t>
            </w:r>
          </w:p>
        </w:tc>
        <w:tc>
          <w:tcPr>
            <w:tcW w:w="1020" w:type="dxa"/>
            <w:tcBorders>
              <w:top w:val="nil"/>
              <w:left w:val="nil"/>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72%</w:t>
            </w:r>
          </w:p>
        </w:tc>
      </w:tr>
      <w:tr w:rsidR="00190A3C" w:rsidRPr="00190A3C" w:rsidTr="00190A3C">
        <w:trPr>
          <w:trHeight w:val="450"/>
        </w:trPr>
        <w:tc>
          <w:tcPr>
            <w:tcW w:w="3000" w:type="dxa"/>
            <w:vMerge w:val="restart"/>
            <w:tcBorders>
              <w:top w:val="nil"/>
              <w:left w:val="single" w:sz="8" w:space="0" w:color="auto"/>
              <w:bottom w:val="single" w:sz="8" w:space="0" w:color="000000"/>
              <w:right w:val="nil"/>
            </w:tcBorders>
            <w:shd w:val="clear" w:color="000000" w:fill="F2F2F2"/>
            <w:vAlign w:val="center"/>
            <w:hideMark/>
          </w:tcPr>
          <w:p w:rsidR="00190A3C" w:rsidRPr="00190A3C" w:rsidRDefault="00190A3C" w:rsidP="00190A3C">
            <w:pPr>
              <w:spacing w:before="0" w:after="0"/>
              <w:ind w:left="0"/>
              <w:jc w:val="left"/>
              <w:rPr>
                <w:color w:val="000000"/>
                <w:sz w:val="20"/>
              </w:rPr>
            </w:pPr>
            <w:r w:rsidRPr="00190A3C">
              <w:rPr>
                <w:color w:val="000000"/>
                <w:sz w:val="20"/>
              </w:rPr>
              <w:t xml:space="preserve">Classe 6202 : </w:t>
            </w:r>
            <w:r w:rsidRPr="00190A3C">
              <w:rPr>
                <w:color w:val="000000"/>
                <w:sz w:val="20"/>
              </w:rPr>
              <w:br/>
              <w:t>Conseil informatique</w:t>
            </w:r>
          </w:p>
        </w:tc>
        <w:tc>
          <w:tcPr>
            <w:tcW w:w="1020" w:type="dxa"/>
            <w:tcBorders>
              <w:top w:val="nil"/>
              <w:left w:val="single" w:sz="4" w:space="0" w:color="auto"/>
              <w:bottom w:val="single" w:sz="4" w:space="0" w:color="auto"/>
              <w:right w:val="single" w:sz="8" w:space="0" w:color="auto"/>
            </w:tcBorders>
            <w:shd w:val="clear" w:color="000000" w:fill="F2F2F2"/>
            <w:vAlign w:val="center"/>
            <w:hideMark/>
          </w:tcPr>
          <w:p w:rsidR="00190A3C" w:rsidRPr="00190A3C" w:rsidRDefault="00190A3C" w:rsidP="00190A3C">
            <w:pPr>
              <w:spacing w:before="0" w:after="0"/>
              <w:ind w:left="0"/>
              <w:jc w:val="right"/>
              <w:rPr>
                <w:color w:val="000000"/>
                <w:sz w:val="20"/>
              </w:rPr>
            </w:pPr>
            <w:r w:rsidRPr="00190A3C">
              <w:rPr>
                <w:color w:val="000000"/>
                <w:sz w:val="20"/>
              </w:rPr>
              <w:t>En valeur</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41 319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204 938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34 046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3 905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17 884   </w:t>
            </w:r>
          </w:p>
        </w:tc>
        <w:tc>
          <w:tcPr>
            <w:tcW w:w="1020" w:type="dxa"/>
            <w:tcBorders>
              <w:top w:val="nil"/>
              <w:left w:val="nil"/>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15 340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1 887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2 142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1 831   </w:t>
            </w:r>
          </w:p>
        </w:tc>
        <w:tc>
          <w:tcPr>
            <w:tcW w:w="1020" w:type="dxa"/>
            <w:tcBorders>
              <w:top w:val="nil"/>
              <w:left w:val="single" w:sz="4" w:space="0" w:color="auto"/>
              <w:bottom w:val="single" w:sz="4" w:space="0" w:color="auto"/>
              <w:right w:val="single" w:sz="8"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1 608   </w:t>
            </w:r>
          </w:p>
        </w:tc>
      </w:tr>
      <w:tr w:rsidR="00190A3C" w:rsidRPr="00190A3C" w:rsidTr="00190A3C">
        <w:trPr>
          <w:trHeight w:val="450"/>
        </w:trPr>
        <w:tc>
          <w:tcPr>
            <w:tcW w:w="3000" w:type="dxa"/>
            <w:vMerge/>
            <w:tcBorders>
              <w:top w:val="nil"/>
              <w:left w:val="single" w:sz="8" w:space="0" w:color="auto"/>
              <w:bottom w:val="single" w:sz="8" w:space="0" w:color="000000"/>
              <w:right w:val="nil"/>
            </w:tcBorders>
            <w:vAlign w:val="center"/>
            <w:hideMark/>
          </w:tcPr>
          <w:p w:rsidR="00190A3C" w:rsidRPr="00190A3C" w:rsidRDefault="00190A3C" w:rsidP="00190A3C">
            <w:pPr>
              <w:spacing w:before="0" w:after="0"/>
              <w:ind w:left="0"/>
              <w:jc w:val="left"/>
              <w:rPr>
                <w:color w:val="000000"/>
                <w:sz w:val="20"/>
              </w:rPr>
            </w:pPr>
          </w:p>
        </w:tc>
        <w:tc>
          <w:tcPr>
            <w:tcW w:w="1020" w:type="dxa"/>
            <w:tcBorders>
              <w:top w:val="nil"/>
              <w:left w:val="single" w:sz="4" w:space="0" w:color="auto"/>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right"/>
              <w:rPr>
                <w:color w:val="000000"/>
                <w:sz w:val="20"/>
              </w:rPr>
            </w:pPr>
            <w:r w:rsidRPr="00190A3C">
              <w:rPr>
                <w:color w:val="000000"/>
                <w:sz w:val="20"/>
              </w:rPr>
              <w:t>En %</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92%</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90%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86%</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75%</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89%</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90%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83%</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84%</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82%</w:t>
            </w:r>
          </w:p>
        </w:tc>
        <w:tc>
          <w:tcPr>
            <w:tcW w:w="1020" w:type="dxa"/>
            <w:tcBorders>
              <w:top w:val="nil"/>
              <w:left w:val="nil"/>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83%</w:t>
            </w:r>
          </w:p>
        </w:tc>
      </w:tr>
      <w:tr w:rsidR="00190A3C" w:rsidRPr="00190A3C" w:rsidTr="00190A3C">
        <w:trPr>
          <w:trHeight w:val="450"/>
        </w:trPr>
        <w:tc>
          <w:tcPr>
            <w:tcW w:w="3000" w:type="dxa"/>
            <w:vMerge w:val="restart"/>
            <w:tcBorders>
              <w:top w:val="nil"/>
              <w:left w:val="single" w:sz="8" w:space="0" w:color="auto"/>
              <w:bottom w:val="single" w:sz="8" w:space="0" w:color="000000"/>
              <w:right w:val="nil"/>
            </w:tcBorders>
            <w:shd w:val="clear" w:color="000000" w:fill="F2F2F2"/>
            <w:vAlign w:val="center"/>
            <w:hideMark/>
          </w:tcPr>
          <w:p w:rsidR="00190A3C" w:rsidRPr="00190A3C" w:rsidRDefault="00190A3C" w:rsidP="00190A3C">
            <w:pPr>
              <w:spacing w:before="0" w:after="0"/>
              <w:ind w:left="0"/>
              <w:jc w:val="left"/>
              <w:rPr>
                <w:color w:val="000000"/>
                <w:sz w:val="20"/>
              </w:rPr>
            </w:pPr>
            <w:r w:rsidRPr="00190A3C">
              <w:rPr>
                <w:color w:val="000000"/>
                <w:sz w:val="20"/>
              </w:rPr>
              <w:t xml:space="preserve">Sous-Classe 6202A : </w:t>
            </w:r>
            <w:r w:rsidRPr="00190A3C">
              <w:rPr>
                <w:color w:val="000000"/>
                <w:sz w:val="20"/>
              </w:rPr>
              <w:br/>
              <w:t>Conseil en systèmes et logiciels informatiques</w:t>
            </w:r>
          </w:p>
        </w:tc>
        <w:tc>
          <w:tcPr>
            <w:tcW w:w="1020" w:type="dxa"/>
            <w:tcBorders>
              <w:top w:val="nil"/>
              <w:left w:val="single" w:sz="4" w:space="0" w:color="auto"/>
              <w:bottom w:val="single" w:sz="4" w:space="0" w:color="auto"/>
              <w:right w:val="single" w:sz="8" w:space="0" w:color="auto"/>
            </w:tcBorders>
            <w:shd w:val="clear" w:color="000000" w:fill="F2F2F2"/>
            <w:vAlign w:val="center"/>
            <w:hideMark/>
          </w:tcPr>
          <w:p w:rsidR="00190A3C" w:rsidRPr="00190A3C" w:rsidRDefault="00190A3C" w:rsidP="00190A3C">
            <w:pPr>
              <w:spacing w:before="0" w:after="0"/>
              <w:ind w:left="0"/>
              <w:jc w:val="right"/>
              <w:rPr>
                <w:color w:val="000000"/>
                <w:sz w:val="20"/>
              </w:rPr>
            </w:pPr>
            <w:r w:rsidRPr="00190A3C">
              <w:rPr>
                <w:color w:val="000000"/>
                <w:sz w:val="20"/>
              </w:rPr>
              <w:t>En valeur</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38 196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185 361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29 227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2 939   </w:t>
            </w:r>
          </w:p>
        </w:tc>
        <w:tc>
          <w:tcPr>
            <w:tcW w:w="1020" w:type="dxa"/>
            <w:tcBorders>
              <w:top w:val="nil"/>
              <w:left w:val="nil"/>
              <w:bottom w:val="single" w:sz="4" w:space="0" w:color="auto"/>
              <w:right w:val="single" w:sz="4"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15 849   </w:t>
            </w:r>
          </w:p>
        </w:tc>
        <w:tc>
          <w:tcPr>
            <w:tcW w:w="1020" w:type="dxa"/>
            <w:tcBorders>
              <w:top w:val="nil"/>
              <w:left w:val="nil"/>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13 733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1 567   </w:t>
            </w:r>
          </w:p>
        </w:tc>
        <w:tc>
          <w:tcPr>
            <w:tcW w:w="1020" w:type="dxa"/>
            <w:tcBorders>
              <w:top w:val="nil"/>
              <w:left w:val="single" w:sz="4" w:space="0" w:color="auto"/>
              <w:bottom w:val="single" w:sz="4" w:space="0" w:color="auto"/>
              <w:right w:val="nil"/>
            </w:tcBorders>
            <w:shd w:val="clear" w:color="000000" w:fill="FFE699"/>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1 790   </w:t>
            </w:r>
          </w:p>
        </w:tc>
        <w:tc>
          <w:tcPr>
            <w:tcW w:w="1020" w:type="dxa"/>
            <w:tcBorders>
              <w:top w:val="nil"/>
              <w:left w:val="single" w:sz="4" w:space="0" w:color="auto"/>
              <w:bottom w:val="single" w:sz="4" w:space="0" w:color="auto"/>
              <w:right w:val="nil"/>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1 497   </w:t>
            </w:r>
          </w:p>
        </w:tc>
        <w:tc>
          <w:tcPr>
            <w:tcW w:w="1020" w:type="dxa"/>
            <w:tcBorders>
              <w:top w:val="nil"/>
              <w:left w:val="single" w:sz="4" w:space="0" w:color="auto"/>
              <w:bottom w:val="single" w:sz="4" w:space="0" w:color="auto"/>
              <w:right w:val="single" w:sz="8" w:space="0" w:color="auto"/>
            </w:tcBorders>
            <w:shd w:val="clear" w:color="auto" w:fill="auto"/>
            <w:vAlign w:val="center"/>
            <w:hideMark/>
          </w:tcPr>
          <w:p w:rsidR="00190A3C" w:rsidRPr="00190A3C" w:rsidRDefault="00190A3C" w:rsidP="00190A3C">
            <w:pPr>
              <w:spacing w:before="0" w:after="0"/>
              <w:ind w:left="0"/>
              <w:jc w:val="center"/>
              <w:rPr>
                <w:color w:val="000000"/>
                <w:sz w:val="20"/>
              </w:rPr>
            </w:pPr>
            <w:r w:rsidRPr="00190A3C">
              <w:rPr>
                <w:color w:val="000000"/>
                <w:sz w:val="20"/>
              </w:rPr>
              <w:t xml:space="preserve">    1 331   </w:t>
            </w:r>
          </w:p>
        </w:tc>
      </w:tr>
      <w:tr w:rsidR="00190A3C" w:rsidRPr="00190A3C" w:rsidTr="00190A3C">
        <w:trPr>
          <w:trHeight w:val="450"/>
        </w:trPr>
        <w:tc>
          <w:tcPr>
            <w:tcW w:w="3000" w:type="dxa"/>
            <w:vMerge/>
            <w:tcBorders>
              <w:top w:val="nil"/>
              <w:left w:val="single" w:sz="8" w:space="0" w:color="auto"/>
              <w:bottom w:val="single" w:sz="8" w:space="0" w:color="000000"/>
              <w:right w:val="nil"/>
            </w:tcBorders>
            <w:vAlign w:val="center"/>
            <w:hideMark/>
          </w:tcPr>
          <w:p w:rsidR="00190A3C" w:rsidRPr="00190A3C" w:rsidRDefault="00190A3C" w:rsidP="00190A3C">
            <w:pPr>
              <w:spacing w:before="0" w:after="0"/>
              <w:ind w:left="0"/>
              <w:jc w:val="left"/>
              <w:rPr>
                <w:color w:val="000000"/>
                <w:sz w:val="20"/>
              </w:rPr>
            </w:pPr>
          </w:p>
        </w:tc>
        <w:tc>
          <w:tcPr>
            <w:tcW w:w="1020" w:type="dxa"/>
            <w:tcBorders>
              <w:top w:val="nil"/>
              <w:left w:val="single" w:sz="4" w:space="0" w:color="auto"/>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right"/>
              <w:rPr>
                <w:color w:val="000000"/>
                <w:sz w:val="20"/>
              </w:rPr>
            </w:pPr>
            <w:r w:rsidRPr="00190A3C">
              <w:rPr>
                <w:color w:val="000000"/>
                <w:sz w:val="20"/>
              </w:rPr>
              <w:t>En %</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4"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c>
          <w:tcPr>
            <w:tcW w:w="1020" w:type="dxa"/>
            <w:tcBorders>
              <w:top w:val="nil"/>
              <w:left w:val="nil"/>
              <w:bottom w:val="single" w:sz="8" w:space="0" w:color="auto"/>
              <w:right w:val="single" w:sz="8" w:space="0" w:color="auto"/>
            </w:tcBorders>
            <w:shd w:val="clear" w:color="000000" w:fill="E2EFDA"/>
            <w:vAlign w:val="center"/>
            <w:hideMark/>
          </w:tcPr>
          <w:p w:rsidR="00190A3C" w:rsidRPr="00190A3C" w:rsidRDefault="00190A3C" w:rsidP="00190A3C">
            <w:pPr>
              <w:spacing w:before="0" w:after="0"/>
              <w:ind w:left="0"/>
              <w:jc w:val="center"/>
              <w:rPr>
                <w:color w:val="000000"/>
                <w:sz w:val="20"/>
              </w:rPr>
            </w:pPr>
            <w:r w:rsidRPr="00190A3C">
              <w:rPr>
                <w:color w:val="000000"/>
                <w:sz w:val="20"/>
              </w:rPr>
              <w:t>100%</w:t>
            </w:r>
          </w:p>
        </w:tc>
      </w:tr>
    </w:tbl>
    <w:p w:rsidR="00E2533D" w:rsidRDefault="00190A3C">
      <w:pPr>
        <w:spacing w:before="0" w:after="0"/>
        <w:ind w:left="0"/>
        <w:jc w:val="left"/>
      </w:pPr>
      <w:r>
        <w:t xml:space="preserve">Source : INSEE </w:t>
      </w:r>
    </w:p>
    <w:p w:rsidR="00190A3C" w:rsidRDefault="00190A3C">
      <w:pPr>
        <w:spacing w:before="0" w:after="0"/>
        <w:ind w:left="0"/>
        <w:jc w:val="left"/>
      </w:pPr>
    </w:p>
    <w:p w:rsidR="00190A3C" w:rsidRDefault="00190A3C" w:rsidP="00190A3C">
      <w:pPr>
        <w:spacing w:before="0" w:after="0"/>
        <w:ind w:left="0"/>
        <w:jc w:val="left"/>
      </w:pPr>
      <w:r>
        <w:t xml:space="preserve">La valeur de la CAF au niveau de sous-classe n’est pas disponible à l’INSEE et a été estimée à partir des données DIANE. </w:t>
      </w:r>
    </w:p>
    <w:p w:rsidR="00E2533D" w:rsidRDefault="00C83EF3" w:rsidP="00E2533D">
      <w:r>
        <w:rPr>
          <w:noProof/>
        </w:rPr>
        <w:lastRenderedPageBreak/>
        <w:pict>
          <v:shape id="_x0000_s1045" type="#_x0000_t202" style="position:absolute;left:0;text-align:left;margin-left:-4.55pt;margin-top:457.2pt;width:696.85pt;height:23.5pt;z-index:251665408" wrapcoords="-22 0 -22 20945 21600 20945 21600 0 -22 0" stroked="f">
            <v:textbox style="mso-next-textbox:#_x0000_s1045;mso-fit-shape-to-text:t" inset="0,0,0,0">
              <w:txbxContent>
                <w:p w:rsidR="003E7DA7" w:rsidRPr="00E631D1" w:rsidRDefault="003E7DA7" w:rsidP="00E2533D">
                  <w:pPr>
                    <w:pStyle w:val="Caption"/>
                    <w:rPr>
                      <w:noProof/>
                    </w:rPr>
                  </w:pPr>
                  <w:r>
                    <w:t xml:space="preserve">Graphique  </w:t>
                  </w:r>
                  <w:r w:rsidR="00C83EF3">
                    <w:fldChar w:fldCharType="begin"/>
                  </w:r>
                  <w:r w:rsidR="00C83EF3">
                    <w:instrText xml:space="preserve"> SEQ Graphique_ \* ARABIC </w:instrText>
                  </w:r>
                  <w:r w:rsidR="00C83EF3">
                    <w:fldChar w:fldCharType="separate"/>
                  </w:r>
                  <w:r w:rsidR="00BE2688">
                    <w:rPr>
                      <w:noProof/>
                    </w:rPr>
                    <w:t>5</w:t>
                  </w:r>
                  <w:r w:rsidR="00C83EF3">
                    <w:rPr>
                      <w:noProof/>
                    </w:rPr>
                    <w:fldChar w:fldCharType="end"/>
                  </w:r>
                  <w:r>
                    <w:t xml:space="preserve"> : évolution de la part du secteur de conseil informatique dans le marché des TIC</w:t>
                  </w:r>
                </w:p>
              </w:txbxContent>
            </v:textbox>
            <w10:wrap type="tight"/>
          </v:shape>
        </w:pict>
      </w:r>
      <w:r w:rsidR="00E2533D">
        <w:rPr>
          <w:noProof/>
        </w:rPr>
        <w:drawing>
          <wp:anchor distT="0" distB="0" distL="114300" distR="114300" simplePos="0" relativeHeight="251656192" behindDoc="1" locked="0" layoutInCell="1" allowOverlap="1">
            <wp:simplePos x="0" y="0"/>
            <wp:positionH relativeFrom="column">
              <wp:posOffset>-57785</wp:posOffset>
            </wp:positionH>
            <wp:positionV relativeFrom="paragraph">
              <wp:posOffset>-321310</wp:posOffset>
            </wp:positionV>
            <wp:extent cx="9256395" cy="6070600"/>
            <wp:effectExtent l="19050" t="0" r="1905" b="0"/>
            <wp:wrapTight wrapText="bothSides">
              <wp:wrapPolygon edited="0">
                <wp:start x="-44" y="0"/>
                <wp:lineTo x="-44" y="21555"/>
                <wp:lineTo x="21604" y="21555"/>
                <wp:lineTo x="21604" y="0"/>
                <wp:lineTo x="-44"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9256395" cy="6070600"/>
                    </a:xfrm>
                    <a:prstGeom prst="rect">
                      <a:avLst/>
                    </a:prstGeom>
                    <a:noFill/>
                    <a:ln w="9525">
                      <a:noFill/>
                      <a:miter lim="800000"/>
                      <a:headEnd/>
                      <a:tailEnd/>
                    </a:ln>
                  </pic:spPr>
                </pic:pic>
              </a:graphicData>
            </a:graphic>
          </wp:anchor>
        </w:drawing>
      </w:r>
    </w:p>
    <w:p w:rsidR="00E2533D" w:rsidRDefault="00C83EF3" w:rsidP="003E7DA7">
      <w:pPr>
        <w:spacing w:before="0" w:after="0"/>
        <w:ind w:left="0"/>
        <w:jc w:val="left"/>
      </w:pPr>
      <w:r>
        <w:rPr>
          <w:noProof/>
        </w:rPr>
        <w:lastRenderedPageBreak/>
        <w:pict>
          <v:shape id="_x0000_s1046" type="#_x0000_t202" style="position:absolute;margin-left:-5.9pt;margin-top:452.5pt;width:681.2pt;height:23.5pt;z-index:251666432" wrapcoords="-22 0 -22 20736 21600 20736 21600 0 -22 0" stroked="f">
            <v:textbox style="mso-next-textbox:#_x0000_s1046;mso-fit-shape-to-text:t" inset="0,0,0,0">
              <w:txbxContent>
                <w:p w:rsidR="003E7DA7" w:rsidRPr="0064156E" w:rsidRDefault="003E7DA7" w:rsidP="00E2533D">
                  <w:pPr>
                    <w:pStyle w:val="Caption"/>
                    <w:rPr>
                      <w:noProof/>
                    </w:rPr>
                  </w:pPr>
                  <w:r>
                    <w:t xml:space="preserve">Graphique  </w:t>
                  </w:r>
                  <w:r w:rsidR="00C83EF3">
                    <w:fldChar w:fldCharType="begin"/>
                  </w:r>
                  <w:r w:rsidR="00C83EF3">
                    <w:instrText xml:space="preserve"> SEQ Graphique_ \* ARABIC </w:instrText>
                  </w:r>
                  <w:r w:rsidR="00C83EF3">
                    <w:fldChar w:fldCharType="separate"/>
                  </w:r>
                  <w:r w:rsidR="00BE2688">
                    <w:rPr>
                      <w:noProof/>
                    </w:rPr>
                    <w:t>6</w:t>
                  </w:r>
                  <w:r w:rsidR="00C83EF3">
                    <w:rPr>
                      <w:noProof/>
                    </w:rPr>
                    <w:fldChar w:fldCharType="end"/>
                  </w:r>
                  <w:r>
                    <w:t xml:space="preserve"> : Segmentation des clients et leurs importance dans le chiffre d'affaire du secteur de conseil en informatiques</w:t>
                  </w:r>
                </w:p>
              </w:txbxContent>
            </v:textbox>
            <w10:wrap type="tight"/>
          </v:shape>
        </w:pict>
      </w:r>
      <w:r w:rsidR="00E2533D">
        <w:rPr>
          <w:noProof/>
        </w:rPr>
        <w:drawing>
          <wp:anchor distT="0" distB="0" distL="114300" distR="114300" simplePos="0" relativeHeight="251657216" behindDoc="1" locked="0" layoutInCell="1" allowOverlap="1">
            <wp:simplePos x="0" y="0"/>
            <wp:positionH relativeFrom="column">
              <wp:posOffset>-74930</wp:posOffset>
            </wp:positionH>
            <wp:positionV relativeFrom="paragraph">
              <wp:posOffset>-372110</wp:posOffset>
            </wp:positionV>
            <wp:extent cx="9256395" cy="6061710"/>
            <wp:effectExtent l="19050" t="0" r="1905" b="0"/>
            <wp:wrapTight wrapText="bothSides">
              <wp:wrapPolygon edited="0">
                <wp:start x="-44" y="0"/>
                <wp:lineTo x="-44" y="21519"/>
                <wp:lineTo x="21604" y="21519"/>
                <wp:lineTo x="21604" y="0"/>
                <wp:lineTo x="-44"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9256395" cy="6061710"/>
                    </a:xfrm>
                    <a:prstGeom prst="rect">
                      <a:avLst/>
                    </a:prstGeom>
                    <a:noFill/>
                    <a:ln w="9525">
                      <a:noFill/>
                      <a:miter lim="800000"/>
                      <a:headEnd/>
                      <a:tailEnd/>
                    </a:ln>
                  </pic:spPr>
                </pic:pic>
              </a:graphicData>
            </a:graphic>
          </wp:anchor>
        </w:drawing>
      </w:r>
      <w:r w:rsidR="00E2533D">
        <w:br w:type="page"/>
      </w:r>
    </w:p>
    <w:p w:rsidR="00E2533D" w:rsidRDefault="00E2533D" w:rsidP="00E2533D">
      <w:pPr>
        <w:pStyle w:val="Heading1"/>
      </w:pPr>
      <w:bookmarkStart w:id="34" w:name="_Toc454836348"/>
      <w:r>
        <w:lastRenderedPageBreak/>
        <w:t xml:space="preserve">Analyse </w:t>
      </w:r>
      <w:r w:rsidR="00AB4E72">
        <w:t>des performances</w:t>
      </w:r>
      <w:bookmarkEnd w:id="34"/>
      <w:r>
        <w:t xml:space="preserve">  </w:t>
      </w:r>
    </w:p>
    <w:tbl>
      <w:tblPr>
        <w:tblW w:w="13820" w:type="dxa"/>
        <w:tblLayout w:type="fixed"/>
        <w:tblCellMar>
          <w:left w:w="70" w:type="dxa"/>
          <w:right w:w="70" w:type="dxa"/>
        </w:tblCellMar>
        <w:tblLook w:val="04A0" w:firstRow="1" w:lastRow="0" w:firstColumn="1" w:lastColumn="0" w:noHBand="0" w:noVBand="1"/>
      </w:tblPr>
      <w:tblGrid>
        <w:gridCol w:w="3180"/>
        <w:gridCol w:w="1520"/>
        <w:gridCol w:w="1520"/>
        <w:gridCol w:w="1520"/>
        <w:gridCol w:w="1520"/>
        <w:gridCol w:w="1520"/>
        <w:gridCol w:w="1520"/>
        <w:gridCol w:w="1520"/>
      </w:tblGrid>
      <w:tr w:rsidR="004D1AB0" w:rsidRPr="003534F7" w:rsidTr="00B35212">
        <w:trPr>
          <w:trHeight w:val="435"/>
        </w:trPr>
        <w:tc>
          <w:tcPr>
            <w:tcW w:w="3180" w:type="dxa"/>
            <w:tcBorders>
              <w:top w:val="nil"/>
              <w:left w:val="nil"/>
              <w:bottom w:val="nil"/>
              <w:right w:val="nil"/>
            </w:tcBorders>
            <w:shd w:val="clear" w:color="auto" w:fill="auto"/>
            <w:noWrap/>
            <w:vAlign w:val="center"/>
            <w:hideMark/>
          </w:tcPr>
          <w:p w:rsidR="004D1AB0" w:rsidRPr="003534F7" w:rsidRDefault="004D1AB0" w:rsidP="003534F7">
            <w:pPr>
              <w:spacing w:before="0" w:after="0"/>
              <w:ind w:left="0"/>
              <w:jc w:val="left"/>
              <w:rPr>
                <w:rFonts w:ascii="Times New Roman" w:hAnsi="Times New Roman" w:cs="Times New Roman"/>
                <w:sz w:val="20"/>
                <w:szCs w:val="24"/>
              </w:rPr>
            </w:pPr>
          </w:p>
        </w:tc>
        <w:tc>
          <w:tcPr>
            <w:tcW w:w="7600" w:type="dxa"/>
            <w:gridSpan w:val="5"/>
            <w:tcBorders>
              <w:top w:val="single" w:sz="8" w:space="0" w:color="auto"/>
              <w:left w:val="single" w:sz="8" w:space="0" w:color="auto"/>
              <w:bottom w:val="single" w:sz="8" w:space="0" w:color="auto"/>
              <w:right w:val="single" w:sz="8" w:space="0" w:color="auto"/>
            </w:tcBorders>
            <w:shd w:val="clear" w:color="000000" w:fill="F2F2F2"/>
            <w:vAlign w:val="center"/>
          </w:tcPr>
          <w:p w:rsidR="004D1AB0" w:rsidRPr="003534F7" w:rsidRDefault="004D1AB0" w:rsidP="003534F7">
            <w:pPr>
              <w:spacing w:before="0" w:after="0"/>
              <w:ind w:left="0"/>
              <w:jc w:val="center"/>
              <w:rPr>
                <w:b/>
                <w:bCs/>
                <w:szCs w:val="22"/>
              </w:rPr>
            </w:pPr>
            <w:r w:rsidRPr="004D1AB0">
              <w:rPr>
                <w:b/>
                <w:bCs/>
                <w:szCs w:val="22"/>
              </w:rPr>
              <w:t>Organisation et débouchés de la production</w:t>
            </w:r>
          </w:p>
        </w:tc>
        <w:tc>
          <w:tcPr>
            <w:tcW w:w="3040" w:type="dxa"/>
            <w:gridSpan w:val="2"/>
            <w:tcBorders>
              <w:top w:val="single" w:sz="8" w:space="0" w:color="auto"/>
              <w:left w:val="single" w:sz="8" w:space="0" w:color="auto"/>
              <w:bottom w:val="single" w:sz="8" w:space="0" w:color="auto"/>
              <w:right w:val="single" w:sz="8" w:space="0" w:color="auto"/>
            </w:tcBorders>
            <w:shd w:val="clear" w:color="000000" w:fill="F2F2F2"/>
            <w:vAlign w:val="center"/>
          </w:tcPr>
          <w:p w:rsidR="004D1AB0" w:rsidRPr="003534F7" w:rsidRDefault="004D1AB0" w:rsidP="003534F7">
            <w:pPr>
              <w:spacing w:before="0" w:after="0"/>
              <w:ind w:left="0"/>
              <w:jc w:val="center"/>
              <w:rPr>
                <w:b/>
                <w:bCs/>
                <w:szCs w:val="22"/>
              </w:rPr>
            </w:pPr>
            <w:r w:rsidRPr="004D1AB0">
              <w:rPr>
                <w:b/>
                <w:bCs/>
                <w:szCs w:val="22"/>
              </w:rPr>
              <w:t>Délais de paiement</w:t>
            </w:r>
          </w:p>
        </w:tc>
      </w:tr>
      <w:tr w:rsidR="003534F7" w:rsidRPr="003534F7" w:rsidTr="003534F7">
        <w:trPr>
          <w:trHeight w:val="1020"/>
        </w:trPr>
        <w:tc>
          <w:tcPr>
            <w:tcW w:w="3180" w:type="dxa"/>
            <w:tcBorders>
              <w:top w:val="nil"/>
              <w:left w:val="nil"/>
              <w:bottom w:val="nil"/>
              <w:right w:val="nil"/>
            </w:tcBorders>
            <w:shd w:val="clear" w:color="auto" w:fill="auto"/>
            <w:vAlign w:val="center"/>
            <w:hideMark/>
          </w:tcPr>
          <w:p w:rsidR="003534F7" w:rsidRPr="003534F7" w:rsidRDefault="003534F7" w:rsidP="003534F7">
            <w:pPr>
              <w:spacing w:before="0" w:after="0"/>
              <w:ind w:left="0"/>
              <w:jc w:val="right"/>
              <w:rPr>
                <w:b/>
                <w:bCs/>
                <w:color w:val="000000"/>
                <w:sz w:val="20"/>
              </w:rPr>
            </w:pPr>
            <w:r w:rsidRPr="003534F7">
              <w:rPr>
                <w:b/>
                <w:bCs/>
                <w:color w:val="000000"/>
                <w:sz w:val="20"/>
              </w:rPr>
              <w:t>Ratio</w:t>
            </w:r>
          </w:p>
        </w:tc>
        <w:tc>
          <w:tcPr>
            <w:tcW w:w="1520" w:type="dxa"/>
            <w:tcBorders>
              <w:top w:val="nil"/>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Taux d’exportation</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Productivité apparente par ETP</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Taux de VA</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Frais de personnel par ETP</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xml:space="preserve">Intensité capitalistique </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xml:space="preserve">Délais client </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xml:space="preserve">Délais fournisseur </w:t>
            </w:r>
          </w:p>
        </w:tc>
      </w:tr>
      <w:tr w:rsidR="003534F7" w:rsidRPr="003534F7" w:rsidTr="003534F7">
        <w:trPr>
          <w:trHeight w:val="255"/>
        </w:trPr>
        <w:tc>
          <w:tcPr>
            <w:tcW w:w="3180" w:type="dxa"/>
            <w:tcBorders>
              <w:top w:val="nil"/>
              <w:left w:val="nil"/>
              <w:bottom w:val="nil"/>
              <w:right w:val="nil"/>
            </w:tcBorders>
            <w:shd w:val="clear" w:color="auto" w:fill="auto"/>
            <w:vAlign w:val="center"/>
            <w:hideMark/>
          </w:tcPr>
          <w:p w:rsidR="003534F7" w:rsidRPr="003534F7" w:rsidRDefault="003534F7" w:rsidP="003534F7">
            <w:pPr>
              <w:spacing w:before="0" w:after="0"/>
              <w:ind w:left="0"/>
              <w:jc w:val="right"/>
              <w:rPr>
                <w:b/>
                <w:bCs/>
                <w:color w:val="000000"/>
                <w:sz w:val="20"/>
              </w:rPr>
            </w:pPr>
            <w:r w:rsidRPr="003534F7">
              <w:rPr>
                <w:b/>
                <w:bCs/>
                <w:color w:val="000000"/>
                <w:sz w:val="20"/>
              </w:rPr>
              <w:t xml:space="preserve">Unité </w:t>
            </w:r>
          </w:p>
        </w:tc>
        <w:tc>
          <w:tcPr>
            <w:tcW w:w="1520" w:type="dxa"/>
            <w:tcBorders>
              <w:top w:val="nil"/>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xml:space="preserve"> (en %)</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k euros)</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AB4E72" w:rsidRDefault="003534F7" w:rsidP="00AB4E72">
            <w:pPr>
              <w:spacing w:before="0" w:after="0"/>
              <w:ind w:left="0"/>
              <w:jc w:val="center"/>
              <w:rPr>
                <w:sz w:val="20"/>
              </w:rPr>
            </w:pPr>
            <w:r w:rsidRPr="00AB4E72">
              <w:rPr>
                <w:sz w:val="20"/>
              </w:rPr>
              <w:t xml:space="preserve">(en </w:t>
            </w:r>
            <w:r w:rsidR="00AB4E72" w:rsidRPr="00AB4E72">
              <w:rPr>
                <w:sz w:val="20"/>
              </w:rPr>
              <w:t>K€</w:t>
            </w:r>
            <w:r w:rsidRPr="00AB4E72">
              <w:rPr>
                <w:sz w:val="20"/>
              </w:rPr>
              <w:t>)</w:t>
            </w:r>
          </w:p>
        </w:tc>
        <w:tc>
          <w:tcPr>
            <w:tcW w:w="1520" w:type="dxa"/>
            <w:tcBorders>
              <w:top w:val="nil"/>
              <w:left w:val="nil"/>
              <w:bottom w:val="single" w:sz="4" w:space="0" w:color="auto"/>
              <w:right w:val="single" w:sz="4" w:space="0" w:color="auto"/>
            </w:tcBorders>
            <w:shd w:val="clear" w:color="000000" w:fill="F2F2F2"/>
            <w:noWrap/>
            <w:vAlign w:val="center"/>
            <w:hideMark/>
          </w:tcPr>
          <w:p w:rsidR="003534F7" w:rsidRPr="00AB4E72" w:rsidRDefault="003534F7" w:rsidP="003534F7">
            <w:pPr>
              <w:spacing w:before="0" w:after="0"/>
              <w:ind w:left="0"/>
              <w:jc w:val="center"/>
              <w:rPr>
                <w:sz w:val="20"/>
              </w:rPr>
            </w:pPr>
            <w:r w:rsidRPr="00AB4E72">
              <w:rPr>
                <w:sz w:val="20"/>
              </w:rPr>
              <w:t>(en k euro)</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jours)</w:t>
            </w:r>
          </w:p>
        </w:tc>
        <w:tc>
          <w:tcPr>
            <w:tcW w:w="1520"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jours)</w:t>
            </w:r>
          </w:p>
        </w:tc>
      </w:tr>
      <w:tr w:rsidR="003534F7" w:rsidRPr="003534F7" w:rsidTr="003534F7">
        <w:trPr>
          <w:trHeight w:val="825"/>
        </w:trPr>
        <w:tc>
          <w:tcPr>
            <w:tcW w:w="3180" w:type="dxa"/>
            <w:tcBorders>
              <w:top w:val="nil"/>
              <w:left w:val="nil"/>
              <w:bottom w:val="nil"/>
              <w:right w:val="nil"/>
            </w:tcBorders>
            <w:shd w:val="clear" w:color="auto" w:fill="auto"/>
            <w:vAlign w:val="center"/>
            <w:hideMark/>
          </w:tcPr>
          <w:p w:rsidR="003534F7" w:rsidRPr="003534F7" w:rsidRDefault="003534F7" w:rsidP="003534F7">
            <w:pPr>
              <w:spacing w:before="0" w:after="0"/>
              <w:ind w:left="0"/>
              <w:jc w:val="right"/>
              <w:rPr>
                <w:b/>
                <w:bCs/>
                <w:color w:val="000000"/>
                <w:sz w:val="20"/>
              </w:rPr>
            </w:pPr>
            <w:r w:rsidRPr="003534F7">
              <w:rPr>
                <w:b/>
                <w:bCs/>
                <w:color w:val="000000"/>
                <w:sz w:val="20"/>
              </w:rPr>
              <w:t xml:space="preserve">Formule   </w:t>
            </w:r>
          </w:p>
        </w:tc>
        <w:tc>
          <w:tcPr>
            <w:tcW w:w="1520" w:type="dxa"/>
            <w:tcBorders>
              <w:top w:val="nil"/>
              <w:left w:val="single" w:sz="4" w:space="0" w:color="auto"/>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Rex / CA</w:t>
            </w:r>
          </w:p>
        </w:tc>
        <w:tc>
          <w:tcPr>
            <w:tcW w:w="1520"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VA / ETP</w:t>
            </w:r>
          </w:p>
        </w:tc>
        <w:tc>
          <w:tcPr>
            <w:tcW w:w="1520"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VA / CA</w:t>
            </w:r>
          </w:p>
        </w:tc>
        <w:tc>
          <w:tcPr>
            <w:tcW w:w="1520"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(Salaires et Ch. sociales) / ETP</w:t>
            </w:r>
          </w:p>
        </w:tc>
        <w:tc>
          <w:tcPr>
            <w:tcW w:w="1520"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Immo. corp. / ETP</w:t>
            </w:r>
          </w:p>
        </w:tc>
        <w:tc>
          <w:tcPr>
            <w:tcW w:w="1520"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w:t>
            </w:r>
          </w:p>
        </w:tc>
        <w:tc>
          <w:tcPr>
            <w:tcW w:w="1520"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w:t>
            </w:r>
          </w:p>
        </w:tc>
      </w:tr>
      <w:tr w:rsidR="003534F7" w:rsidRPr="003534F7" w:rsidTr="003534F7">
        <w:trPr>
          <w:trHeight w:val="878"/>
        </w:trPr>
        <w:tc>
          <w:tcPr>
            <w:tcW w:w="31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Section J : </w:t>
            </w:r>
            <w:r w:rsidRPr="003534F7">
              <w:rPr>
                <w:rFonts w:ascii="Times New Roman" w:hAnsi="Times New Roman" w:cs="Times New Roman"/>
                <w:color w:val="000000"/>
                <w:sz w:val="24"/>
                <w:szCs w:val="24"/>
              </w:rPr>
              <w:br/>
              <w:t>Information et communication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11,0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119,0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46,0</w:t>
            </w:r>
          </w:p>
        </w:tc>
        <w:tc>
          <w:tcPr>
            <w:tcW w:w="1520"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76</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180,1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67</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95,0</w:t>
            </w:r>
          </w:p>
        </w:tc>
      </w:tr>
      <w:tr w:rsidR="003534F7" w:rsidRPr="003534F7" w:rsidTr="003534F7">
        <w:trPr>
          <w:trHeight w:val="878"/>
        </w:trPr>
        <w:tc>
          <w:tcPr>
            <w:tcW w:w="3180" w:type="dxa"/>
            <w:tcBorders>
              <w:top w:val="nil"/>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Division 62 : </w:t>
            </w:r>
            <w:r w:rsidRPr="003534F7">
              <w:rPr>
                <w:rFonts w:ascii="Times New Roman" w:hAnsi="Times New Roman" w:cs="Times New Roman"/>
                <w:color w:val="000000"/>
                <w:sz w:val="24"/>
                <w:szCs w:val="24"/>
              </w:rPr>
              <w:br/>
              <w:t>Programmation, conseil et autres activités informatiques</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13,0</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91,1</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51,0</w:t>
            </w:r>
          </w:p>
        </w:tc>
        <w:tc>
          <w:tcPr>
            <w:tcW w:w="1520"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75</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26,3</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81</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83,0</w:t>
            </w:r>
          </w:p>
        </w:tc>
      </w:tr>
      <w:tr w:rsidR="003534F7" w:rsidRPr="003534F7" w:rsidTr="003534F7">
        <w:trPr>
          <w:trHeight w:val="878"/>
        </w:trPr>
        <w:tc>
          <w:tcPr>
            <w:tcW w:w="3180" w:type="dxa"/>
            <w:tcBorders>
              <w:top w:val="nil"/>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Groupe 620 : </w:t>
            </w:r>
            <w:r w:rsidRPr="003534F7">
              <w:rPr>
                <w:rFonts w:ascii="Times New Roman" w:hAnsi="Times New Roman" w:cs="Times New Roman"/>
                <w:color w:val="000000"/>
                <w:sz w:val="24"/>
                <w:szCs w:val="24"/>
              </w:rPr>
              <w:br/>
              <w:t>Programmation, conseil et autres activités informatiques</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13,0</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91,1</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51,0</w:t>
            </w:r>
          </w:p>
        </w:tc>
        <w:tc>
          <w:tcPr>
            <w:tcW w:w="1520"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75</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26,3</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81</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83,0</w:t>
            </w:r>
          </w:p>
        </w:tc>
      </w:tr>
      <w:tr w:rsidR="003534F7" w:rsidRPr="003534F7" w:rsidTr="003534F7">
        <w:trPr>
          <w:trHeight w:val="878"/>
        </w:trPr>
        <w:tc>
          <w:tcPr>
            <w:tcW w:w="3180" w:type="dxa"/>
            <w:tcBorders>
              <w:top w:val="nil"/>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Classe 6202 : </w:t>
            </w:r>
            <w:r w:rsidRPr="003534F7">
              <w:rPr>
                <w:rFonts w:ascii="Times New Roman" w:hAnsi="Times New Roman" w:cs="Times New Roman"/>
                <w:color w:val="000000"/>
                <w:sz w:val="24"/>
                <w:szCs w:val="24"/>
              </w:rPr>
              <w:br/>
              <w:t>Conseil informatique</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11,0</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87,3</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53,0</w:t>
            </w:r>
          </w:p>
        </w:tc>
        <w:tc>
          <w:tcPr>
            <w:tcW w:w="1520"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75</w:t>
            </w:r>
          </w:p>
        </w:tc>
        <w:tc>
          <w:tcPr>
            <w:tcW w:w="1520" w:type="dxa"/>
            <w:tcBorders>
              <w:top w:val="nil"/>
              <w:left w:val="nil"/>
              <w:bottom w:val="nil"/>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15,9</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84</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84,0</w:t>
            </w:r>
          </w:p>
        </w:tc>
      </w:tr>
      <w:tr w:rsidR="003534F7" w:rsidRPr="003534F7" w:rsidTr="003534F7">
        <w:trPr>
          <w:trHeight w:val="878"/>
        </w:trPr>
        <w:tc>
          <w:tcPr>
            <w:tcW w:w="3180" w:type="dxa"/>
            <w:tcBorders>
              <w:top w:val="nil"/>
              <w:left w:val="single" w:sz="4"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Sous-Classe 6202A : </w:t>
            </w:r>
            <w:r w:rsidRPr="003534F7">
              <w:rPr>
                <w:rFonts w:ascii="Times New Roman" w:hAnsi="Times New Roman" w:cs="Times New Roman"/>
                <w:color w:val="000000"/>
                <w:sz w:val="24"/>
                <w:szCs w:val="24"/>
              </w:rPr>
              <w:br/>
              <w:t>Conseil en systèmes et logiciels informatiques</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10,0</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85,5</w:t>
            </w:r>
          </w:p>
        </w:tc>
        <w:tc>
          <w:tcPr>
            <w:tcW w:w="1520"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54,0</w:t>
            </w:r>
          </w:p>
        </w:tc>
        <w:tc>
          <w:tcPr>
            <w:tcW w:w="1520"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74</w:t>
            </w:r>
          </w:p>
        </w:tc>
        <w:tc>
          <w:tcPr>
            <w:tcW w:w="1520" w:type="dxa"/>
            <w:tcBorders>
              <w:top w:val="single" w:sz="4" w:space="0" w:color="auto"/>
              <w:left w:val="nil"/>
              <w:bottom w:val="single" w:sz="4" w:space="0" w:color="auto"/>
              <w:right w:val="single" w:sz="4" w:space="0" w:color="auto"/>
            </w:tcBorders>
            <w:shd w:val="clear" w:color="000000" w:fill="FFE699"/>
            <w:vAlign w:val="center"/>
            <w:hideMark/>
          </w:tcPr>
          <w:p w:rsidR="003534F7" w:rsidRPr="003534F7" w:rsidRDefault="003534F7" w:rsidP="003534F7">
            <w:pPr>
              <w:spacing w:before="0" w:after="0"/>
              <w:ind w:left="0"/>
              <w:jc w:val="center"/>
              <w:rPr>
                <w:color w:val="000000"/>
                <w:sz w:val="20"/>
              </w:rPr>
            </w:pPr>
            <w:r w:rsidRPr="003534F7">
              <w:rPr>
                <w:color w:val="000000"/>
                <w:sz w:val="20"/>
              </w:rPr>
              <w:t>6,5</w:t>
            </w:r>
          </w:p>
        </w:tc>
        <w:tc>
          <w:tcPr>
            <w:tcW w:w="1520" w:type="dxa"/>
            <w:tcBorders>
              <w:top w:val="nil"/>
              <w:left w:val="nil"/>
              <w:bottom w:val="single" w:sz="4" w:space="0" w:color="auto"/>
              <w:right w:val="single" w:sz="4" w:space="0" w:color="auto"/>
            </w:tcBorders>
            <w:shd w:val="clear" w:color="000000" w:fill="FFE69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81</w:t>
            </w:r>
          </w:p>
        </w:tc>
        <w:tc>
          <w:tcPr>
            <w:tcW w:w="1520" w:type="dxa"/>
            <w:tcBorders>
              <w:top w:val="nil"/>
              <w:left w:val="nil"/>
              <w:bottom w:val="single" w:sz="4" w:space="0" w:color="auto"/>
              <w:right w:val="single" w:sz="4" w:space="0" w:color="auto"/>
            </w:tcBorders>
            <w:shd w:val="clear" w:color="000000" w:fill="FFE69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75</w:t>
            </w:r>
          </w:p>
        </w:tc>
      </w:tr>
    </w:tbl>
    <w:p w:rsidR="003534F7" w:rsidRDefault="003534F7" w:rsidP="00E2533D">
      <w:pPr>
        <w:ind w:left="0"/>
      </w:pPr>
      <w:r>
        <w:t xml:space="preserve">Source : INSEE </w:t>
      </w:r>
    </w:p>
    <w:p w:rsidR="001F3961" w:rsidRPr="00443015" w:rsidRDefault="003534F7" w:rsidP="00E2533D">
      <w:pPr>
        <w:ind w:left="0"/>
      </w:pPr>
      <w:r>
        <w:t xml:space="preserve">Les valeurs en couleurs ne sont pas disponibles à l’INSEE mais nous les avons estimés à partir des données Diane. </w:t>
      </w:r>
    </w:p>
    <w:p w:rsidR="00443015" w:rsidRDefault="00443015" w:rsidP="00443015"/>
    <w:tbl>
      <w:tblPr>
        <w:tblW w:w="14236" w:type="dxa"/>
        <w:tblInd w:w="70" w:type="dxa"/>
        <w:tblLayout w:type="fixed"/>
        <w:tblCellMar>
          <w:left w:w="70" w:type="dxa"/>
          <w:right w:w="70" w:type="dxa"/>
        </w:tblCellMar>
        <w:tblLook w:val="04A0" w:firstRow="1" w:lastRow="0" w:firstColumn="1" w:lastColumn="0" w:noHBand="0" w:noVBand="1"/>
      </w:tblPr>
      <w:tblGrid>
        <w:gridCol w:w="3180"/>
        <w:gridCol w:w="1228"/>
        <w:gridCol w:w="1228"/>
        <w:gridCol w:w="1229"/>
        <w:gridCol w:w="1228"/>
        <w:gridCol w:w="1229"/>
        <w:gridCol w:w="1228"/>
        <w:gridCol w:w="1229"/>
        <w:gridCol w:w="1228"/>
        <w:gridCol w:w="1229"/>
      </w:tblGrid>
      <w:tr w:rsidR="003534F7" w:rsidRPr="003534F7" w:rsidTr="001B245F">
        <w:trPr>
          <w:trHeight w:val="435"/>
        </w:trPr>
        <w:tc>
          <w:tcPr>
            <w:tcW w:w="3180" w:type="dxa"/>
            <w:tcBorders>
              <w:top w:val="nil"/>
              <w:left w:val="nil"/>
              <w:bottom w:val="nil"/>
              <w:right w:val="nil"/>
            </w:tcBorders>
            <w:shd w:val="clear" w:color="auto" w:fill="auto"/>
            <w:noWrap/>
            <w:vAlign w:val="center"/>
            <w:hideMark/>
          </w:tcPr>
          <w:p w:rsidR="003534F7" w:rsidRPr="003534F7" w:rsidRDefault="003534F7" w:rsidP="003534F7">
            <w:pPr>
              <w:spacing w:before="0" w:after="0"/>
              <w:ind w:left="0"/>
              <w:jc w:val="left"/>
              <w:rPr>
                <w:rFonts w:ascii="Times New Roman" w:hAnsi="Times New Roman" w:cs="Times New Roman"/>
                <w:sz w:val="20"/>
                <w:szCs w:val="24"/>
              </w:rPr>
            </w:pPr>
          </w:p>
        </w:tc>
        <w:tc>
          <w:tcPr>
            <w:tcW w:w="2456"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b/>
                <w:bCs/>
                <w:szCs w:val="22"/>
              </w:rPr>
            </w:pPr>
            <w:r w:rsidRPr="003534F7">
              <w:rPr>
                <w:b/>
                <w:bCs/>
                <w:szCs w:val="22"/>
              </w:rPr>
              <w:t>Taux de marge</w:t>
            </w:r>
          </w:p>
        </w:tc>
        <w:tc>
          <w:tcPr>
            <w:tcW w:w="2457" w:type="dxa"/>
            <w:gridSpan w:val="2"/>
            <w:tcBorders>
              <w:top w:val="single" w:sz="8" w:space="0" w:color="auto"/>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b/>
                <w:bCs/>
                <w:szCs w:val="22"/>
              </w:rPr>
            </w:pPr>
            <w:r w:rsidRPr="003534F7">
              <w:rPr>
                <w:b/>
                <w:bCs/>
                <w:szCs w:val="22"/>
              </w:rPr>
              <w:t>Partage de la VA</w:t>
            </w:r>
          </w:p>
        </w:tc>
        <w:tc>
          <w:tcPr>
            <w:tcW w:w="2457" w:type="dxa"/>
            <w:gridSpan w:val="2"/>
            <w:tcBorders>
              <w:top w:val="single" w:sz="8" w:space="0" w:color="auto"/>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b/>
                <w:bCs/>
                <w:szCs w:val="22"/>
              </w:rPr>
            </w:pPr>
            <w:r w:rsidRPr="003534F7">
              <w:rPr>
                <w:b/>
                <w:bCs/>
                <w:szCs w:val="22"/>
              </w:rPr>
              <w:t>Ratios de rentabilité</w:t>
            </w:r>
          </w:p>
        </w:tc>
        <w:tc>
          <w:tcPr>
            <w:tcW w:w="3686" w:type="dxa"/>
            <w:gridSpan w:val="3"/>
            <w:tcBorders>
              <w:top w:val="single" w:sz="8" w:space="0" w:color="auto"/>
              <w:left w:val="nil"/>
              <w:bottom w:val="single" w:sz="8" w:space="0" w:color="auto"/>
              <w:right w:val="single" w:sz="8" w:space="0" w:color="auto"/>
            </w:tcBorders>
            <w:shd w:val="clear" w:color="000000" w:fill="F2F2F2"/>
            <w:vAlign w:val="center"/>
            <w:hideMark/>
          </w:tcPr>
          <w:p w:rsidR="003534F7" w:rsidRPr="003534F7" w:rsidRDefault="003534F7" w:rsidP="003534F7">
            <w:pPr>
              <w:spacing w:before="0" w:after="0"/>
              <w:ind w:left="0"/>
              <w:jc w:val="center"/>
              <w:rPr>
                <w:b/>
                <w:bCs/>
                <w:szCs w:val="22"/>
              </w:rPr>
            </w:pPr>
            <w:r w:rsidRPr="003534F7">
              <w:rPr>
                <w:b/>
                <w:bCs/>
                <w:szCs w:val="22"/>
              </w:rPr>
              <w:t>Ratios d'investissement</w:t>
            </w:r>
          </w:p>
        </w:tc>
      </w:tr>
      <w:tr w:rsidR="003534F7" w:rsidRPr="003534F7" w:rsidTr="003534F7">
        <w:trPr>
          <w:trHeight w:val="1020"/>
        </w:trPr>
        <w:tc>
          <w:tcPr>
            <w:tcW w:w="3180" w:type="dxa"/>
            <w:tcBorders>
              <w:top w:val="nil"/>
              <w:left w:val="nil"/>
              <w:bottom w:val="nil"/>
              <w:right w:val="nil"/>
            </w:tcBorders>
            <w:shd w:val="clear" w:color="auto" w:fill="auto"/>
            <w:vAlign w:val="center"/>
            <w:hideMark/>
          </w:tcPr>
          <w:p w:rsidR="003534F7" w:rsidRPr="003534F7" w:rsidRDefault="003534F7" w:rsidP="003534F7">
            <w:pPr>
              <w:spacing w:before="0" w:after="0"/>
              <w:ind w:left="0"/>
              <w:jc w:val="right"/>
              <w:rPr>
                <w:b/>
                <w:bCs/>
                <w:color w:val="000000"/>
                <w:sz w:val="20"/>
              </w:rPr>
            </w:pPr>
            <w:r w:rsidRPr="003534F7">
              <w:rPr>
                <w:b/>
                <w:bCs/>
                <w:color w:val="000000"/>
                <w:sz w:val="20"/>
              </w:rPr>
              <w:t>Ratio</w:t>
            </w:r>
          </w:p>
        </w:tc>
        <w:tc>
          <w:tcPr>
            <w:tcW w:w="1228" w:type="dxa"/>
            <w:tcBorders>
              <w:top w:val="nil"/>
              <w:left w:val="single" w:sz="8"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Taux de marge d'exp</w:t>
            </w:r>
            <w:r>
              <w:rPr>
                <w:color w:val="000000"/>
                <w:sz w:val="20"/>
              </w:rPr>
              <w:t>l.</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Taux de marge nette</w:t>
            </w:r>
          </w:p>
        </w:tc>
        <w:tc>
          <w:tcPr>
            <w:tcW w:w="1229"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Taux de marge sur VA</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Part des frais de personnel</w:t>
            </w:r>
          </w:p>
        </w:tc>
        <w:tc>
          <w:tcPr>
            <w:tcW w:w="1229"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Rentabilité éco</w:t>
            </w:r>
            <w:r>
              <w:rPr>
                <w:color w:val="000000"/>
                <w:sz w:val="20"/>
              </w:rPr>
              <w:t>.</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Rentabilité financière</w:t>
            </w:r>
          </w:p>
        </w:tc>
        <w:tc>
          <w:tcPr>
            <w:tcW w:w="1229"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Taux d’invest. Corp.</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Invest. Corp. par ETP</w:t>
            </w:r>
          </w:p>
        </w:tc>
        <w:tc>
          <w:tcPr>
            <w:tcW w:w="1229" w:type="dxa"/>
            <w:tcBorders>
              <w:top w:val="nil"/>
              <w:left w:val="nil"/>
              <w:bottom w:val="single" w:sz="4" w:space="0" w:color="auto"/>
              <w:right w:val="single" w:sz="8"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Invest. Incorp. par ETP</w:t>
            </w:r>
          </w:p>
        </w:tc>
      </w:tr>
      <w:tr w:rsidR="003534F7" w:rsidRPr="003534F7" w:rsidTr="003534F7">
        <w:trPr>
          <w:trHeight w:val="255"/>
        </w:trPr>
        <w:tc>
          <w:tcPr>
            <w:tcW w:w="3180" w:type="dxa"/>
            <w:tcBorders>
              <w:top w:val="nil"/>
              <w:left w:val="nil"/>
              <w:bottom w:val="nil"/>
              <w:right w:val="nil"/>
            </w:tcBorders>
            <w:shd w:val="clear" w:color="auto" w:fill="auto"/>
            <w:vAlign w:val="center"/>
            <w:hideMark/>
          </w:tcPr>
          <w:p w:rsidR="003534F7" w:rsidRPr="003534F7" w:rsidRDefault="003534F7" w:rsidP="003534F7">
            <w:pPr>
              <w:spacing w:before="0" w:after="0"/>
              <w:ind w:left="0"/>
              <w:jc w:val="right"/>
              <w:rPr>
                <w:b/>
                <w:bCs/>
                <w:color w:val="000000"/>
                <w:sz w:val="20"/>
              </w:rPr>
            </w:pPr>
            <w:r w:rsidRPr="003534F7">
              <w:rPr>
                <w:b/>
                <w:bCs/>
                <w:color w:val="000000"/>
                <w:sz w:val="20"/>
              </w:rPr>
              <w:t xml:space="preserve">Unité </w:t>
            </w:r>
          </w:p>
        </w:tc>
        <w:tc>
          <w:tcPr>
            <w:tcW w:w="1228" w:type="dxa"/>
            <w:tcBorders>
              <w:top w:val="nil"/>
              <w:left w:val="single" w:sz="8" w:space="0" w:color="auto"/>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9"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9"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9" w:type="dxa"/>
            <w:tcBorders>
              <w:top w:val="nil"/>
              <w:left w:val="nil"/>
              <w:bottom w:val="single" w:sz="4"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(en %)</w:t>
            </w:r>
          </w:p>
        </w:tc>
        <w:tc>
          <w:tcPr>
            <w:tcW w:w="1228" w:type="dxa"/>
            <w:tcBorders>
              <w:top w:val="nil"/>
              <w:left w:val="nil"/>
              <w:bottom w:val="single" w:sz="4" w:space="0" w:color="auto"/>
              <w:right w:val="single" w:sz="4" w:space="0" w:color="auto"/>
            </w:tcBorders>
            <w:shd w:val="clear" w:color="000000" w:fill="F2F2F2"/>
            <w:vAlign w:val="center"/>
            <w:hideMark/>
          </w:tcPr>
          <w:p w:rsidR="003534F7" w:rsidRPr="00AB4E72" w:rsidRDefault="003534F7" w:rsidP="003534F7">
            <w:pPr>
              <w:spacing w:before="0" w:after="0"/>
              <w:ind w:left="0"/>
              <w:jc w:val="center"/>
              <w:rPr>
                <w:sz w:val="20"/>
              </w:rPr>
            </w:pPr>
            <w:r w:rsidRPr="00AB4E72">
              <w:rPr>
                <w:sz w:val="20"/>
              </w:rPr>
              <w:t xml:space="preserve">(en </w:t>
            </w:r>
            <w:r w:rsidR="00AB4E72" w:rsidRPr="00AB4E72">
              <w:rPr>
                <w:sz w:val="20"/>
              </w:rPr>
              <w:t>K€</w:t>
            </w:r>
            <w:r w:rsidRPr="00AB4E72">
              <w:rPr>
                <w:sz w:val="20"/>
              </w:rPr>
              <w:t>)</w:t>
            </w:r>
          </w:p>
        </w:tc>
        <w:tc>
          <w:tcPr>
            <w:tcW w:w="1229" w:type="dxa"/>
            <w:tcBorders>
              <w:top w:val="nil"/>
              <w:left w:val="nil"/>
              <w:bottom w:val="single" w:sz="4" w:space="0" w:color="auto"/>
              <w:right w:val="single" w:sz="8" w:space="0" w:color="auto"/>
            </w:tcBorders>
            <w:shd w:val="clear" w:color="000000" w:fill="F2F2F2"/>
            <w:vAlign w:val="center"/>
            <w:hideMark/>
          </w:tcPr>
          <w:p w:rsidR="003534F7" w:rsidRPr="00AB4E72" w:rsidRDefault="003534F7" w:rsidP="003534F7">
            <w:pPr>
              <w:spacing w:before="0" w:after="0"/>
              <w:ind w:left="0"/>
              <w:jc w:val="center"/>
              <w:rPr>
                <w:sz w:val="20"/>
              </w:rPr>
            </w:pPr>
            <w:r w:rsidRPr="00AB4E72">
              <w:rPr>
                <w:sz w:val="20"/>
              </w:rPr>
              <w:t xml:space="preserve">(en </w:t>
            </w:r>
            <w:r w:rsidR="00AB4E72" w:rsidRPr="00AB4E72">
              <w:rPr>
                <w:sz w:val="20"/>
              </w:rPr>
              <w:t>K€</w:t>
            </w:r>
            <w:r w:rsidRPr="00AB4E72">
              <w:rPr>
                <w:sz w:val="20"/>
              </w:rPr>
              <w:t>)</w:t>
            </w:r>
          </w:p>
        </w:tc>
      </w:tr>
      <w:tr w:rsidR="003534F7" w:rsidRPr="003534F7" w:rsidTr="003534F7">
        <w:trPr>
          <w:trHeight w:val="825"/>
        </w:trPr>
        <w:tc>
          <w:tcPr>
            <w:tcW w:w="3180" w:type="dxa"/>
            <w:tcBorders>
              <w:top w:val="nil"/>
              <w:left w:val="nil"/>
              <w:bottom w:val="nil"/>
              <w:right w:val="nil"/>
            </w:tcBorders>
            <w:shd w:val="clear" w:color="auto" w:fill="auto"/>
            <w:vAlign w:val="center"/>
            <w:hideMark/>
          </w:tcPr>
          <w:p w:rsidR="003534F7" w:rsidRPr="003534F7" w:rsidRDefault="003534F7" w:rsidP="003534F7">
            <w:pPr>
              <w:spacing w:before="0" w:after="0"/>
              <w:ind w:left="0"/>
              <w:jc w:val="right"/>
              <w:rPr>
                <w:b/>
                <w:bCs/>
                <w:color w:val="000000"/>
                <w:sz w:val="20"/>
              </w:rPr>
            </w:pPr>
            <w:r w:rsidRPr="003534F7">
              <w:rPr>
                <w:b/>
                <w:bCs/>
                <w:color w:val="000000"/>
                <w:sz w:val="20"/>
              </w:rPr>
              <w:t xml:space="preserve">Formule   </w:t>
            </w:r>
          </w:p>
        </w:tc>
        <w:tc>
          <w:tcPr>
            <w:tcW w:w="1228" w:type="dxa"/>
            <w:tcBorders>
              <w:top w:val="nil"/>
              <w:left w:val="single" w:sz="8" w:space="0" w:color="auto"/>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EBE / VA</w:t>
            </w:r>
          </w:p>
        </w:tc>
        <w:tc>
          <w:tcPr>
            <w:tcW w:w="1228"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xml:space="preserve">Rés. net  / CA </w:t>
            </w:r>
          </w:p>
        </w:tc>
        <w:tc>
          <w:tcPr>
            <w:tcW w:w="1229"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w:t>
            </w:r>
          </w:p>
        </w:tc>
        <w:tc>
          <w:tcPr>
            <w:tcW w:w="1228"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w:t>
            </w:r>
          </w:p>
        </w:tc>
        <w:tc>
          <w:tcPr>
            <w:tcW w:w="1229"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Rex / Actif éco.</w:t>
            </w:r>
          </w:p>
        </w:tc>
        <w:tc>
          <w:tcPr>
            <w:tcW w:w="1228"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RN / Capitaux prop.</w:t>
            </w:r>
          </w:p>
        </w:tc>
        <w:tc>
          <w:tcPr>
            <w:tcW w:w="1229"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xml:space="preserve">Inv. Corp. / VA </w:t>
            </w:r>
          </w:p>
        </w:tc>
        <w:tc>
          <w:tcPr>
            <w:tcW w:w="1228" w:type="dxa"/>
            <w:tcBorders>
              <w:top w:val="nil"/>
              <w:left w:val="nil"/>
              <w:bottom w:val="single" w:sz="8" w:space="0" w:color="auto"/>
              <w:right w:val="single" w:sz="4"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Inv. corp. / ETP</w:t>
            </w:r>
          </w:p>
        </w:tc>
        <w:tc>
          <w:tcPr>
            <w:tcW w:w="1229" w:type="dxa"/>
            <w:tcBorders>
              <w:top w:val="nil"/>
              <w:left w:val="nil"/>
              <w:bottom w:val="single" w:sz="8" w:space="0" w:color="auto"/>
              <w:right w:val="single" w:sz="8" w:space="0" w:color="auto"/>
            </w:tcBorders>
            <w:shd w:val="clear" w:color="000000" w:fill="F2F2F2"/>
            <w:vAlign w:val="center"/>
            <w:hideMark/>
          </w:tcPr>
          <w:p w:rsidR="003534F7" w:rsidRPr="003534F7" w:rsidRDefault="003534F7" w:rsidP="003534F7">
            <w:pPr>
              <w:spacing w:before="0" w:after="0"/>
              <w:ind w:left="0"/>
              <w:jc w:val="center"/>
              <w:rPr>
                <w:color w:val="000000"/>
                <w:sz w:val="20"/>
              </w:rPr>
            </w:pPr>
            <w:r w:rsidRPr="003534F7">
              <w:rPr>
                <w:color w:val="000000"/>
                <w:sz w:val="20"/>
              </w:rPr>
              <w:t> </w:t>
            </w:r>
          </w:p>
        </w:tc>
      </w:tr>
      <w:tr w:rsidR="003534F7" w:rsidRPr="003534F7" w:rsidTr="003534F7">
        <w:trPr>
          <w:trHeight w:val="900"/>
        </w:trPr>
        <w:tc>
          <w:tcPr>
            <w:tcW w:w="3180"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Section J : </w:t>
            </w:r>
            <w:r w:rsidRPr="003534F7">
              <w:rPr>
                <w:rFonts w:ascii="Times New Roman" w:hAnsi="Times New Roman" w:cs="Times New Roman"/>
                <w:color w:val="000000"/>
                <w:sz w:val="24"/>
                <w:szCs w:val="24"/>
              </w:rPr>
              <w:br/>
              <w:t>Information et communication</w:t>
            </w:r>
          </w:p>
        </w:tc>
        <w:tc>
          <w:tcPr>
            <w:tcW w:w="1228" w:type="dxa"/>
            <w:tcBorders>
              <w:top w:val="nil"/>
              <w:left w:val="single" w:sz="8" w:space="0" w:color="auto"/>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32%</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3%</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33</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67</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11</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13,0</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31</w:t>
            </w: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54</w:t>
            </w:r>
          </w:p>
        </w:tc>
      </w:tr>
      <w:tr w:rsidR="003534F7" w:rsidRPr="003534F7" w:rsidTr="003534F7">
        <w:trPr>
          <w:trHeight w:val="900"/>
        </w:trPr>
        <w:tc>
          <w:tcPr>
            <w:tcW w:w="3180" w:type="dxa"/>
            <w:tcBorders>
              <w:top w:val="nil"/>
              <w:left w:val="single" w:sz="8" w:space="0" w:color="auto"/>
              <w:bottom w:val="single" w:sz="4" w:space="0" w:color="auto"/>
              <w:right w:val="single" w:sz="8"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Division 62 : </w:t>
            </w:r>
            <w:r w:rsidRPr="003534F7">
              <w:rPr>
                <w:rFonts w:ascii="Times New Roman" w:hAnsi="Times New Roman" w:cs="Times New Roman"/>
                <w:color w:val="000000"/>
                <w:sz w:val="24"/>
                <w:szCs w:val="24"/>
              </w:rPr>
              <w:br/>
              <w:t>Programmation, conseil et autres activités informatiques</w:t>
            </w:r>
          </w:p>
        </w:tc>
        <w:tc>
          <w:tcPr>
            <w:tcW w:w="1228" w:type="dxa"/>
            <w:tcBorders>
              <w:top w:val="nil"/>
              <w:left w:val="single" w:sz="8" w:space="0" w:color="auto"/>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14%</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3%</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86</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15</w:t>
            </w:r>
          </w:p>
        </w:tc>
        <w:tc>
          <w:tcPr>
            <w:tcW w:w="1228"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9</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4,0</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8</w:t>
            </w:r>
          </w:p>
        </w:tc>
        <w:tc>
          <w:tcPr>
            <w:tcW w:w="1229" w:type="dxa"/>
            <w:tcBorders>
              <w:top w:val="nil"/>
              <w:left w:val="nil"/>
              <w:bottom w:val="single" w:sz="4" w:space="0" w:color="auto"/>
              <w:right w:val="single" w:sz="8"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w:t>
            </w:r>
          </w:p>
        </w:tc>
      </w:tr>
      <w:tr w:rsidR="003534F7" w:rsidRPr="003534F7" w:rsidTr="003534F7">
        <w:trPr>
          <w:trHeight w:val="900"/>
        </w:trPr>
        <w:tc>
          <w:tcPr>
            <w:tcW w:w="3180" w:type="dxa"/>
            <w:tcBorders>
              <w:top w:val="nil"/>
              <w:left w:val="single" w:sz="8" w:space="0" w:color="auto"/>
              <w:bottom w:val="single" w:sz="4" w:space="0" w:color="auto"/>
              <w:right w:val="single" w:sz="8"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Groupe 620 : </w:t>
            </w:r>
            <w:r w:rsidRPr="003534F7">
              <w:rPr>
                <w:rFonts w:ascii="Times New Roman" w:hAnsi="Times New Roman" w:cs="Times New Roman"/>
                <w:color w:val="000000"/>
                <w:sz w:val="24"/>
                <w:szCs w:val="24"/>
              </w:rPr>
              <w:br/>
              <w:t>Programmation, conseil et autres activités informatiques</w:t>
            </w:r>
          </w:p>
        </w:tc>
        <w:tc>
          <w:tcPr>
            <w:tcW w:w="1228" w:type="dxa"/>
            <w:tcBorders>
              <w:top w:val="nil"/>
              <w:left w:val="single" w:sz="8" w:space="0" w:color="auto"/>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14%</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3%</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14</w:t>
            </w:r>
          </w:p>
        </w:tc>
        <w:tc>
          <w:tcPr>
            <w:tcW w:w="1228"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86</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15</w:t>
            </w:r>
          </w:p>
        </w:tc>
        <w:tc>
          <w:tcPr>
            <w:tcW w:w="1228"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9</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4,0</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8</w:t>
            </w:r>
          </w:p>
        </w:tc>
        <w:tc>
          <w:tcPr>
            <w:tcW w:w="1229" w:type="dxa"/>
            <w:tcBorders>
              <w:top w:val="nil"/>
              <w:left w:val="nil"/>
              <w:bottom w:val="single" w:sz="4" w:space="0" w:color="auto"/>
              <w:right w:val="single" w:sz="8"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5</w:t>
            </w:r>
          </w:p>
        </w:tc>
      </w:tr>
      <w:tr w:rsidR="003534F7" w:rsidRPr="003534F7" w:rsidTr="003534F7">
        <w:trPr>
          <w:trHeight w:val="900"/>
        </w:trPr>
        <w:tc>
          <w:tcPr>
            <w:tcW w:w="3180" w:type="dxa"/>
            <w:tcBorders>
              <w:top w:val="nil"/>
              <w:left w:val="single" w:sz="8" w:space="0" w:color="auto"/>
              <w:bottom w:val="single" w:sz="4" w:space="0" w:color="auto"/>
              <w:right w:val="single" w:sz="8"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Classe 6202 : </w:t>
            </w:r>
            <w:r w:rsidRPr="003534F7">
              <w:rPr>
                <w:rFonts w:ascii="Times New Roman" w:hAnsi="Times New Roman" w:cs="Times New Roman"/>
                <w:color w:val="000000"/>
                <w:sz w:val="24"/>
                <w:szCs w:val="24"/>
              </w:rPr>
              <w:br/>
              <w:t>Conseil informatique</w:t>
            </w:r>
          </w:p>
        </w:tc>
        <w:tc>
          <w:tcPr>
            <w:tcW w:w="1228" w:type="dxa"/>
            <w:tcBorders>
              <w:top w:val="nil"/>
              <w:left w:val="single" w:sz="8" w:space="0" w:color="auto"/>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11%</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5%</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11</w:t>
            </w:r>
          </w:p>
        </w:tc>
        <w:tc>
          <w:tcPr>
            <w:tcW w:w="1228"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89</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17</w:t>
            </w:r>
          </w:p>
        </w:tc>
        <w:tc>
          <w:tcPr>
            <w:tcW w:w="1228"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11</w:t>
            </w:r>
          </w:p>
        </w:tc>
        <w:tc>
          <w:tcPr>
            <w:tcW w:w="1229" w:type="dxa"/>
            <w:tcBorders>
              <w:top w:val="nil"/>
              <w:left w:val="nil"/>
              <w:bottom w:val="single" w:sz="4"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3,0</w:t>
            </w:r>
          </w:p>
        </w:tc>
        <w:tc>
          <w:tcPr>
            <w:tcW w:w="1228" w:type="dxa"/>
            <w:tcBorders>
              <w:top w:val="nil"/>
              <w:left w:val="nil"/>
              <w:bottom w:val="single" w:sz="4"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5</w:t>
            </w:r>
          </w:p>
        </w:tc>
        <w:tc>
          <w:tcPr>
            <w:tcW w:w="1229" w:type="dxa"/>
            <w:tcBorders>
              <w:top w:val="nil"/>
              <w:left w:val="nil"/>
              <w:bottom w:val="single" w:sz="4" w:space="0" w:color="auto"/>
              <w:right w:val="single" w:sz="8"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3</w:t>
            </w:r>
          </w:p>
        </w:tc>
      </w:tr>
      <w:tr w:rsidR="003534F7" w:rsidRPr="003534F7" w:rsidTr="003534F7">
        <w:trPr>
          <w:trHeight w:val="9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3534F7" w:rsidRPr="003534F7" w:rsidRDefault="003534F7" w:rsidP="003534F7">
            <w:pPr>
              <w:spacing w:before="0" w:after="0"/>
              <w:ind w:left="0"/>
              <w:jc w:val="left"/>
              <w:rPr>
                <w:rFonts w:ascii="Times New Roman" w:hAnsi="Times New Roman" w:cs="Times New Roman"/>
                <w:color w:val="000000"/>
                <w:sz w:val="24"/>
                <w:szCs w:val="24"/>
              </w:rPr>
            </w:pPr>
            <w:r w:rsidRPr="003534F7">
              <w:rPr>
                <w:rFonts w:ascii="Times New Roman" w:hAnsi="Times New Roman" w:cs="Times New Roman"/>
                <w:color w:val="000000"/>
                <w:sz w:val="24"/>
                <w:szCs w:val="24"/>
              </w:rPr>
              <w:t xml:space="preserve">Sous-Classe 6202A : </w:t>
            </w:r>
            <w:r w:rsidRPr="003534F7">
              <w:rPr>
                <w:rFonts w:ascii="Times New Roman" w:hAnsi="Times New Roman" w:cs="Times New Roman"/>
                <w:color w:val="000000"/>
                <w:sz w:val="24"/>
                <w:szCs w:val="24"/>
              </w:rPr>
              <w:br/>
              <w:t>Conseil en systèmes et logiciels informatiques</w:t>
            </w:r>
          </w:p>
        </w:tc>
        <w:tc>
          <w:tcPr>
            <w:tcW w:w="1228" w:type="dxa"/>
            <w:tcBorders>
              <w:top w:val="nil"/>
              <w:left w:val="single" w:sz="8" w:space="0" w:color="auto"/>
              <w:bottom w:val="single" w:sz="8"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10%</w:t>
            </w:r>
          </w:p>
        </w:tc>
        <w:tc>
          <w:tcPr>
            <w:tcW w:w="1228" w:type="dxa"/>
            <w:tcBorders>
              <w:top w:val="nil"/>
              <w:left w:val="nil"/>
              <w:bottom w:val="single" w:sz="8" w:space="0" w:color="auto"/>
              <w:right w:val="single" w:sz="4" w:space="0" w:color="auto"/>
            </w:tcBorders>
            <w:shd w:val="clear" w:color="auto" w:fill="auto"/>
            <w:vAlign w:val="center"/>
            <w:hideMark/>
          </w:tcPr>
          <w:p w:rsidR="003534F7" w:rsidRPr="003534F7" w:rsidRDefault="003534F7" w:rsidP="003534F7">
            <w:pPr>
              <w:spacing w:before="0" w:after="0"/>
              <w:ind w:left="0"/>
              <w:jc w:val="center"/>
              <w:rPr>
                <w:color w:val="000000"/>
                <w:sz w:val="20"/>
              </w:rPr>
            </w:pPr>
            <w:r w:rsidRPr="003534F7">
              <w:rPr>
                <w:color w:val="000000"/>
                <w:sz w:val="20"/>
              </w:rPr>
              <w:t>5%</w:t>
            </w:r>
          </w:p>
        </w:tc>
        <w:tc>
          <w:tcPr>
            <w:tcW w:w="1229" w:type="dxa"/>
            <w:tcBorders>
              <w:top w:val="nil"/>
              <w:left w:val="nil"/>
              <w:bottom w:val="single" w:sz="8"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10</w:t>
            </w:r>
          </w:p>
        </w:tc>
        <w:tc>
          <w:tcPr>
            <w:tcW w:w="1228" w:type="dxa"/>
            <w:tcBorders>
              <w:top w:val="nil"/>
              <w:left w:val="nil"/>
              <w:bottom w:val="single" w:sz="8" w:space="0" w:color="auto"/>
              <w:right w:val="single" w:sz="4" w:space="0" w:color="auto"/>
            </w:tcBorders>
            <w:shd w:val="clear" w:color="auto" w:fill="auto"/>
            <w:noWrap/>
            <w:vAlign w:val="center"/>
            <w:hideMark/>
          </w:tcPr>
          <w:p w:rsidR="003534F7" w:rsidRPr="003534F7" w:rsidRDefault="003534F7" w:rsidP="003534F7">
            <w:pPr>
              <w:spacing w:before="0" w:after="0"/>
              <w:ind w:left="0"/>
              <w:jc w:val="center"/>
              <w:rPr>
                <w:sz w:val="20"/>
              </w:rPr>
            </w:pPr>
            <w:r w:rsidRPr="003534F7">
              <w:rPr>
                <w:sz w:val="20"/>
              </w:rPr>
              <w:t>90</w:t>
            </w:r>
          </w:p>
        </w:tc>
        <w:tc>
          <w:tcPr>
            <w:tcW w:w="1229" w:type="dxa"/>
            <w:tcBorders>
              <w:top w:val="nil"/>
              <w:left w:val="nil"/>
              <w:bottom w:val="single" w:sz="8" w:space="0" w:color="auto"/>
              <w:right w:val="single" w:sz="4" w:space="0" w:color="auto"/>
            </w:tcBorders>
            <w:shd w:val="clear" w:color="000000" w:fill="FFE69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11%</w:t>
            </w:r>
          </w:p>
        </w:tc>
        <w:tc>
          <w:tcPr>
            <w:tcW w:w="1228" w:type="dxa"/>
            <w:tcBorders>
              <w:top w:val="nil"/>
              <w:left w:val="nil"/>
              <w:bottom w:val="single" w:sz="8" w:space="0" w:color="auto"/>
              <w:right w:val="single" w:sz="4" w:space="0" w:color="auto"/>
            </w:tcBorders>
            <w:shd w:val="clear" w:color="000000" w:fill="FFE69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9%</w:t>
            </w:r>
          </w:p>
        </w:tc>
        <w:tc>
          <w:tcPr>
            <w:tcW w:w="1229" w:type="dxa"/>
            <w:tcBorders>
              <w:top w:val="nil"/>
              <w:left w:val="nil"/>
              <w:bottom w:val="single" w:sz="8" w:space="0" w:color="auto"/>
              <w:right w:val="single" w:sz="4" w:space="0" w:color="auto"/>
            </w:tcBorders>
            <w:shd w:val="clear" w:color="000000" w:fill="D9D9D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n.d</w:t>
            </w:r>
          </w:p>
        </w:tc>
        <w:tc>
          <w:tcPr>
            <w:tcW w:w="1228" w:type="dxa"/>
            <w:tcBorders>
              <w:top w:val="nil"/>
              <w:left w:val="nil"/>
              <w:bottom w:val="single" w:sz="8" w:space="0" w:color="auto"/>
              <w:right w:val="single" w:sz="4" w:space="0" w:color="auto"/>
            </w:tcBorders>
            <w:shd w:val="clear" w:color="000000" w:fill="D9D9D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n.d</w:t>
            </w:r>
          </w:p>
        </w:tc>
        <w:tc>
          <w:tcPr>
            <w:tcW w:w="1229" w:type="dxa"/>
            <w:tcBorders>
              <w:top w:val="nil"/>
              <w:left w:val="nil"/>
              <w:bottom w:val="single" w:sz="8" w:space="0" w:color="auto"/>
              <w:right w:val="single" w:sz="8" w:space="0" w:color="auto"/>
            </w:tcBorders>
            <w:shd w:val="clear" w:color="000000" w:fill="D9D9D9"/>
            <w:noWrap/>
            <w:vAlign w:val="center"/>
            <w:hideMark/>
          </w:tcPr>
          <w:p w:rsidR="003534F7" w:rsidRPr="003534F7" w:rsidRDefault="003534F7" w:rsidP="003534F7">
            <w:pPr>
              <w:spacing w:before="0" w:after="0"/>
              <w:ind w:left="0"/>
              <w:jc w:val="center"/>
              <w:rPr>
                <w:color w:val="000000"/>
                <w:sz w:val="20"/>
              </w:rPr>
            </w:pPr>
            <w:r w:rsidRPr="003534F7">
              <w:rPr>
                <w:color w:val="000000"/>
                <w:sz w:val="20"/>
              </w:rPr>
              <w:t>n.d</w:t>
            </w:r>
          </w:p>
        </w:tc>
      </w:tr>
    </w:tbl>
    <w:p w:rsidR="003534F7" w:rsidRDefault="003534F7" w:rsidP="00443015">
      <w:r>
        <w:t xml:space="preserve">Source : INSEE </w:t>
      </w:r>
    </w:p>
    <w:p w:rsidR="003534F7" w:rsidRDefault="003534F7" w:rsidP="003534F7">
      <w:r>
        <w:t>Les valeurs en couleurs ne sont pas disponibles à l’INSEE mais nous les avons estimés à partir des données Diane.</w:t>
      </w:r>
    </w:p>
    <w:p w:rsidR="003534F7" w:rsidRPr="00443015" w:rsidRDefault="003534F7" w:rsidP="00800766">
      <w:r>
        <w:t xml:space="preserve">Les valeurs </w:t>
      </w:r>
      <w:r w:rsidR="00800766">
        <w:t xml:space="preserve">n.d ne sont pas disponibles et nous n’avons pas d’autres sources de données pour l’instant pour les estimer. </w:t>
      </w:r>
    </w:p>
    <w:p w:rsidR="00FC4333" w:rsidRDefault="00FC4333" w:rsidP="00FC4333">
      <w:pPr>
        <w:pStyle w:val="Heading1"/>
      </w:pPr>
      <w:r>
        <w:lastRenderedPageBreak/>
        <w:t xml:space="preserve">  </w:t>
      </w:r>
      <w:bookmarkStart w:id="35" w:name="_Toc454836349"/>
      <w:r w:rsidR="00A166F7">
        <w:t>Démographie, q</w:t>
      </w:r>
      <w:r>
        <w:t>ualification et localisation des emplois</w:t>
      </w:r>
      <w:bookmarkEnd w:id="35"/>
      <w:r>
        <w:t xml:space="preserve">  </w:t>
      </w:r>
    </w:p>
    <w:p w:rsidR="00FC4333" w:rsidRDefault="00A166F7" w:rsidP="00A166F7">
      <w:pPr>
        <w:pStyle w:val="Heading2"/>
      </w:pPr>
      <w:bookmarkStart w:id="36" w:name="_Toc454836350"/>
      <w:r>
        <w:t>Démographie des entreprises su secteur</w:t>
      </w:r>
      <w:bookmarkEnd w:id="36"/>
      <w:r>
        <w:t xml:space="preserve"> </w:t>
      </w:r>
    </w:p>
    <w:p w:rsidR="00EF2230" w:rsidRDefault="00EF2230" w:rsidP="00A166F7">
      <w:pPr>
        <w:pStyle w:val="Heading3"/>
      </w:pPr>
      <w:bookmarkStart w:id="37" w:name="_Toc454836351"/>
      <w:r>
        <w:t>Structure du secteur</w:t>
      </w:r>
      <w:bookmarkEnd w:id="37"/>
      <w:r>
        <w:t xml:space="preserve"> </w:t>
      </w:r>
    </w:p>
    <w:p w:rsidR="00BD2CAE" w:rsidRDefault="004E3855" w:rsidP="005D79EA">
      <w:r>
        <w:t xml:space="preserve">Le </w:t>
      </w:r>
      <w:r w:rsidR="00567BB5">
        <w:fldChar w:fldCharType="begin"/>
      </w:r>
      <w:r>
        <w:instrText xml:space="preserve"> REF _Ref451801582 \h </w:instrText>
      </w:r>
      <w:r w:rsidR="00567BB5">
        <w:fldChar w:fldCharType="separate"/>
      </w:r>
      <w:r w:rsidR="00BE2688">
        <w:t xml:space="preserve">Graphique  </w:t>
      </w:r>
      <w:r w:rsidR="00BE2688">
        <w:rPr>
          <w:noProof/>
        </w:rPr>
        <w:t>7</w:t>
      </w:r>
      <w:r w:rsidR="00567BB5">
        <w:fldChar w:fldCharType="end"/>
      </w:r>
      <w:r>
        <w:t xml:space="preserve"> montre la concentration du secteur en 2014 et le </w:t>
      </w:r>
      <w:r w:rsidR="00567BB5">
        <w:fldChar w:fldCharType="begin"/>
      </w:r>
      <w:r>
        <w:instrText xml:space="preserve"> REF _Ref451801633 \h </w:instrText>
      </w:r>
      <w:r w:rsidR="00567BB5">
        <w:fldChar w:fldCharType="separate"/>
      </w:r>
      <w:r w:rsidR="00BE2688">
        <w:t xml:space="preserve">Graphique  </w:t>
      </w:r>
      <w:r w:rsidR="00BE2688">
        <w:rPr>
          <w:noProof/>
        </w:rPr>
        <w:t>8</w:t>
      </w:r>
      <w:r w:rsidR="00567BB5">
        <w:fldChar w:fldCharType="end"/>
      </w:r>
      <w:r>
        <w:t xml:space="preserve"> montre l’évolution de la concentration entre 2004 et 2014. </w:t>
      </w:r>
    </w:p>
    <w:p w:rsidR="00BD2CAE" w:rsidRDefault="00BD2CAE" w:rsidP="005D79EA">
      <w:r w:rsidRPr="00730949">
        <w:rPr>
          <w:lang w:val="en-US"/>
        </w:rPr>
        <w:t xml:space="preserve">Sur le </w:t>
      </w:r>
      <w:r w:rsidR="00567BB5">
        <w:fldChar w:fldCharType="begin"/>
      </w:r>
      <w:r w:rsidRPr="00730949">
        <w:rPr>
          <w:lang w:val="en-US"/>
        </w:rPr>
        <w:instrText xml:space="preserve"> REF _Ref451801912 \h </w:instrText>
      </w:r>
      <w:r w:rsidR="00567BB5">
        <w:fldChar w:fldCharType="separate"/>
      </w:r>
      <w:r w:rsidR="00BE2688">
        <w:rPr>
          <w:b/>
          <w:bCs/>
          <w:lang w:val="en-US"/>
        </w:rPr>
        <w:t>Error! Reference source not found.</w:t>
      </w:r>
      <w:r w:rsidR="00567BB5">
        <w:fldChar w:fldCharType="end"/>
      </w:r>
      <w:r w:rsidRPr="00730949">
        <w:rPr>
          <w:lang w:val="en-US"/>
        </w:rPr>
        <w:t xml:space="preserve"> </w:t>
      </w:r>
      <w:r>
        <w:t xml:space="preserve">on représente la taille du top 100 des entreprises du secteur par chiffre d’affaire et par total du bilan. </w:t>
      </w:r>
    </w:p>
    <w:p w:rsidR="00EF2230" w:rsidRDefault="00BD2CAE" w:rsidP="0037370C">
      <w:r w:rsidRPr="00730949">
        <w:rPr>
          <w:lang w:val="en-US"/>
        </w:rPr>
        <w:t>Sur le</w:t>
      </w:r>
      <w:r w:rsidR="004E3855" w:rsidRPr="00730949">
        <w:rPr>
          <w:lang w:val="en-US"/>
        </w:rPr>
        <w:t xml:space="preserve"> </w:t>
      </w:r>
      <w:r w:rsidR="003E7DA7">
        <w:fldChar w:fldCharType="begin"/>
      </w:r>
      <w:r w:rsidR="003E7DA7" w:rsidRPr="00730949">
        <w:rPr>
          <w:lang w:val="en-US"/>
        </w:rPr>
        <w:instrText xml:space="preserve"> REF _Ref451801999 \h  \* MERGEFORMAT </w:instrText>
      </w:r>
      <w:r w:rsidR="003E7DA7">
        <w:fldChar w:fldCharType="separate"/>
      </w:r>
      <w:r w:rsidR="00BE2688">
        <w:rPr>
          <w:b/>
          <w:bCs/>
          <w:lang w:val="en-US"/>
        </w:rPr>
        <w:t>Error! Reference source not found.</w:t>
      </w:r>
      <w:r w:rsidR="003E7DA7">
        <w:fldChar w:fldCharType="end"/>
      </w:r>
      <w:r w:rsidRPr="00730949">
        <w:rPr>
          <w:lang w:val="en-US"/>
        </w:rPr>
        <w:t xml:space="preserve"> </w:t>
      </w:r>
      <w:r>
        <w:t xml:space="preserve">on représente les entreprises par des cercles de taille proportionnelle aux chiffres d’affaire. Sur l’axe horizontal, on représente la part de marché relative de chaque entreprise par rapport au leader (IBM). Pour le leader, on calcule sa part relative par rapport au second (Sopra-Steria). Sur l’axe vertical on représente le taux de croissance annuel moyen des entreprises entre 2010 et 2014. L’intersection des axes verts représente une entreprise fictive qui a la taille minimale optimale (c'est-à-dire 7% du leader) et dont la croissance correspond au taux de croissance moyen du marché (6,5%). </w:t>
      </w:r>
    </w:p>
    <w:p w:rsidR="00EF2230" w:rsidRDefault="00D221E9" w:rsidP="00D221E9">
      <w:pPr>
        <w:pStyle w:val="Heading3"/>
      </w:pPr>
      <w:bookmarkStart w:id="38" w:name="_Toc454836352"/>
      <w:r>
        <w:t>Localisation des entreprises</w:t>
      </w:r>
      <w:bookmarkEnd w:id="38"/>
      <w:r>
        <w:t xml:space="preserve"> </w:t>
      </w:r>
    </w:p>
    <w:p w:rsidR="00044BCC" w:rsidRDefault="00044BCC" w:rsidP="00044BCC">
      <w:r>
        <w:t>On représente sur le</w:t>
      </w:r>
      <w:r w:rsidR="00867837">
        <w:t xml:space="preserve"> </w:t>
      </w:r>
      <w:r w:rsidR="00567BB5">
        <w:fldChar w:fldCharType="begin"/>
      </w:r>
      <w:r w:rsidR="00C739C3">
        <w:instrText xml:space="preserve"> REF _Ref451798613 \h </w:instrText>
      </w:r>
      <w:r w:rsidR="00567BB5">
        <w:fldChar w:fldCharType="separate"/>
      </w:r>
      <w:r w:rsidR="00BE2688">
        <w:t xml:space="preserve">Graphique  </w:t>
      </w:r>
      <w:r w:rsidR="00BE2688">
        <w:rPr>
          <w:noProof/>
        </w:rPr>
        <w:t>9</w:t>
      </w:r>
      <w:r w:rsidR="00567BB5">
        <w:fldChar w:fldCharType="end"/>
      </w:r>
      <w:r>
        <w:t xml:space="preserve"> la localisation géographique des entreprises et des salariés du secteur en France</w:t>
      </w:r>
      <w:r w:rsidR="00F37521">
        <w:t xml:space="preserve">. </w:t>
      </w:r>
      <w:r>
        <w:t xml:space="preserve">On constate que 20% des régions en France (soit 6 régions) accueillent 80% des établissements et 96% des effectifs du secteur. Plus que la moitié (53%) sont localisés en Île-de-France avec 68% des effectifs. </w:t>
      </w:r>
    </w:p>
    <w:p w:rsidR="00044BCC" w:rsidRDefault="00044BCC" w:rsidP="001B7AB9">
      <w:r>
        <w:t xml:space="preserve">Le service est caractérisé par la proximité avec le client. La majorité des clients sont situés dans la région parisienne. </w:t>
      </w:r>
      <w:r w:rsidR="001B7AB9">
        <w:t>L</w:t>
      </w:r>
      <w:r>
        <w:t xml:space="preserve">a région d’Île-de-France contient deux pôles de compétitivité fortement marqués par la thématique des TIC et beaucoup d’adhérents. Il s’agit des pôles CAP DIGITAL et SYSTEMATIC. Cela explique la forte densité des entreprises de ce secteur dans cette région. </w:t>
      </w:r>
    </w:p>
    <w:p w:rsidR="00044BCC" w:rsidRDefault="00044BCC" w:rsidP="00044BCC">
      <w:r>
        <w:t xml:space="preserve">L’autre moitié des établissements est répartit sur l’ensemble du territoire avec une présence marquée en Provence-Alpes-Côte d’Azur avec le pôle « Solutions Communicantes Sécurisées (SCS), en Rhône-Alpes avec les pôles MINALOGIC et IMAGINOVE. </w:t>
      </w:r>
    </w:p>
    <w:p w:rsidR="003E7DA7" w:rsidRDefault="00044BCC" w:rsidP="003E7DA7">
      <w:r>
        <w:t xml:space="preserve">Dans d’autres régions comme à Toulouse, il y a très peu de clients voire un seul qui est Airbus et plusieurs petites entreprises de services informatiques autour de ce client. Dans cette dernière région le secteur a donc la forme d’un oligopsone voire monopsone sur certains segments. </w:t>
      </w:r>
    </w:p>
    <w:p w:rsidR="00A166F7" w:rsidRDefault="00A166F7" w:rsidP="00A166F7">
      <w:pPr>
        <w:pStyle w:val="Heading2"/>
      </w:pPr>
      <w:bookmarkStart w:id="39" w:name="_Toc454836353"/>
      <w:r>
        <w:t>Démographie des salariés</w:t>
      </w:r>
      <w:bookmarkEnd w:id="39"/>
      <w:r>
        <w:t xml:space="preserve"> </w:t>
      </w:r>
    </w:p>
    <w:p w:rsidR="00A166F7" w:rsidRDefault="00A166F7" w:rsidP="00A166F7">
      <w:pPr>
        <w:pStyle w:val="Heading3"/>
      </w:pPr>
      <w:bookmarkStart w:id="40" w:name="_Toc454836354"/>
      <w:r>
        <w:t>Nombre d’emploi par taille d’entreprise</w:t>
      </w:r>
      <w:bookmarkEnd w:id="40"/>
      <w:r>
        <w:t xml:space="preserve"> </w:t>
      </w:r>
    </w:p>
    <w:p w:rsidR="00A166F7" w:rsidRDefault="007A3DB9" w:rsidP="00FC4333">
      <w:r>
        <w:t xml:space="preserve">Cf. </w:t>
      </w:r>
      <w:r w:rsidR="00567BB5">
        <w:fldChar w:fldCharType="begin"/>
      </w:r>
      <w:r>
        <w:instrText xml:space="preserve"> REF _Ref451800077 \h </w:instrText>
      </w:r>
      <w:r w:rsidR="00567BB5">
        <w:fldChar w:fldCharType="separate"/>
      </w:r>
      <w:r w:rsidR="00BE2688">
        <w:t xml:space="preserve">Graphique  </w:t>
      </w:r>
      <w:r w:rsidR="00BE2688">
        <w:rPr>
          <w:noProof/>
        </w:rPr>
        <w:t>10</w:t>
      </w:r>
      <w:r w:rsidR="00567BB5">
        <w:fldChar w:fldCharType="end"/>
      </w:r>
      <w:r>
        <w:t xml:space="preserve">. Les grandes variations d’une année à l’autre peuvent s’expliquer par la qualité de données. </w:t>
      </w:r>
    </w:p>
    <w:p w:rsidR="003949AC" w:rsidRPr="003E7DA7" w:rsidRDefault="003949AC" w:rsidP="003E7DA7">
      <w:pPr>
        <w:spacing w:before="0" w:after="0"/>
        <w:ind w:left="0"/>
        <w:jc w:val="left"/>
        <w:rPr>
          <w:bCs/>
          <w:sz w:val="26"/>
          <w:szCs w:val="26"/>
          <w:u w:val="single"/>
        </w:rPr>
      </w:pPr>
    </w:p>
    <w:p w:rsidR="00F37521" w:rsidRDefault="00C83EF3">
      <w:pPr>
        <w:spacing w:before="0" w:after="0"/>
        <w:ind w:left="0"/>
        <w:jc w:val="left"/>
      </w:pPr>
      <w:r>
        <w:rPr>
          <w:noProof/>
        </w:rPr>
        <w:lastRenderedPageBreak/>
        <w:pict>
          <v:shape id="_x0000_s1038" type="#_x0000_t202" style="position:absolute;margin-left:-5.2pt;margin-top:455.2pt;width:689.15pt;height:23.5pt;z-index:251663360" wrapcoords="-22 0 -22 20736 21600 20736 21600 0 -22 0" stroked="f">
            <v:textbox style="mso-next-textbox:#_x0000_s1038;mso-fit-shape-to-text:t" inset="0,0,0,0">
              <w:txbxContent>
                <w:p w:rsidR="003E7DA7" w:rsidRPr="0011141D" w:rsidRDefault="003E7DA7" w:rsidP="00F37521">
                  <w:pPr>
                    <w:pStyle w:val="Caption"/>
                    <w:rPr>
                      <w:noProof/>
                    </w:rPr>
                  </w:pPr>
                  <w:bookmarkStart w:id="41" w:name="_Ref451801582"/>
                  <w:r>
                    <w:t xml:space="preserve">Graphique  </w:t>
                  </w:r>
                  <w:r w:rsidR="00C83EF3">
                    <w:fldChar w:fldCharType="begin"/>
                  </w:r>
                  <w:r w:rsidR="00C83EF3">
                    <w:instrText xml:space="preserve"> SEQ Graphique_ \* ARABIC </w:instrText>
                  </w:r>
                  <w:r w:rsidR="00C83EF3">
                    <w:fldChar w:fldCharType="separate"/>
                  </w:r>
                  <w:r w:rsidR="00BE2688">
                    <w:rPr>
                      <w:noProof/>
                    </w:rPr>
                    <w:t>7</w:t>
                  </w:r>
                  <w:r w:rsidR="00C83EF3">
                    <w:rPr>
                      <w:noProof/>
                    </w:rPr>
                    <w:fldChar w:fldCharType="end"/>
                  </w:r>
                  <w:bookmarkEnd w:id="41"/>
                  <w:r>
                    <w:t xml:space="preserve"> : Ratios de concentration dans le secteur de conseil en informatique en 2014</w:t>
                  </w:r>
                </w:p>
              </w:txbxContent>
            </v:textbox>
            <w10:wrap type="tight"/>
          </v:shape>
        </w:pict>
      </w:r>
      <w:r w:rsidR="00F37521">
        <w:rPr>
          <w:noProof/>
        </w:rPr>
        <w:drawing>
          <wp:anchor distT="0" distB="0" distL="114300" distR="114300" simplePos="0" relativeHeight="251654144" behindDoc="1" locked="0" layoutInCell="1" allowOverlap="1">
            <wp:simplePos x="0" y="0"/>
            <wp:positionH relativeFrom="column">
              <wp:posOffset>-66040</wp:posOffset>
            </wp:positionH>
            <wp:positionV relativeFrom="paragraph">
              <wp:posOffset>-363220</wp:posOffset>
            </wp:positionV>
            <wp:extent cx="9256395" cy="6087110"/>
            <wp:effectExtent l="19050" t="0" r="1905" b="0"/>
            <wp:wrapTight wrapText="bothSides">
              <wp:wrapPolygon edited="0">
                <wp:start x="-44" y="0"/>
                <wp:lineTo x="-44" y="21564"/>
                <wp:lineTo x="21604" y="21564"/>
                <wp:lineTo x="21604" y="0"/>
                <wp:lineTo x="-44" y="0"/>
              </wp:wrapPolygon>
            </wp:wrapTight>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srcRect/>
                    <a:stretch>
                      <a:fillRect/>
                    </a:stretch>
                  </pic:blipFill>
                  <pic:spPr bwMode="auto">
                    <a:xfrm>
                      <a:off x="0" y="0"/>
                      <a:ext cx="9256395" cy="6087110"/>
                    </a:xfrm>
                    <a:prstGeom prst="rect">
                      <a:avLst/>
                    </a:prstGeom>
                    <a:noFill/>
                    <a:ln w="9525">
                      <a:noFill/>
                      <a:miter lim="800000"/>
                      <a:headEnd/>
                      <a:tailEnd/>
                    </a:ln>
                  </pic:spPr>
                </pic:pic>
              </a:graphicData>
            </a:graphic>
          </wp:anchor>
        </w:drawing>
      </w:r>
      <w:r w:rsidR="00F37521">
        <w:br w:type="page"/>
      </w:r>
    </w:p>
    <w:p w:rsidR="003949AC" w:rsidRDefault="00C83EF3" w:rsidP="001B7AB9">
      <w:pPr>
        <w:spacing w:before="0" w:after="0"/>
        <w:ind w:left="0"/>
        <w:jc w:val="left"/>
      </w:pPr>
      <w:r>
        <w:rPr>
          <w:noProof/>
        </w:rPr>
        <w:lastRenderedPageBreak/>
        <w:pict>
          <v:shape id="_x0000_s1039" type="#_x0000_t202" style="position:absolute;margin-left:-4.85pt;margin-top:451.9pt;width:683.55pt;height:23.5pt;z-index:251664384" wrapcoords="-22 0 -22 20736 21600 20736 21600 0 -22 0" stroked="f">
            <v:textbox style="mso-next-textbox:#_x0000_s1039;mso-fit-shape-to-text:t" inset="0,0,0,0">
              <w:txbxContent>
                <w:p w:rsidR="003E7DA7" w:rsidRPr="005B75E3" w:rsidRDefault="003E7DA7" w:rsidP="00F37521">
                  <w:pPr>
                    <w:pStyle w:val="Caption"/>
                    <w:rPr>
                      <w:noProof/>
                    </w:rPr>
                  </w:pPr>
                  <w:bookmarkStart w:id="42" w:name="_Ref451801633"/>
                  <w:r>
                    <w:t xml:space="preserve">Graphique  </w:t>
                  </w:r>
                  <w:r w:rsidR="00C83EF3">
                    <w:fldChar w:fldCharType="begin"/>
                  </w:r>
                  <w:r w:rsidR="00C83EF3">
                    <w:instrText xml:space="preserve"> SEQ Graphique_ \* ARABIC </w:instrText>
                  </w:r>
                  <w:r w:rsidR="00C83EF3">
                    <w:fldChar w:fldCharType="separate"/>
                  </w:r>
                  <w:r w:rsidR="00BE2688">
                    <w:rPr>
                      <w:noProof/>
                    </w:rPr>
                    <w:t>8</w:t>
                  </w:r>
                  <w:r w:rsidR="00C83EF3">
                    <w:rPr>
                      <w:noProof/>
                    </w:rPr>
                    <w:fldChar w:fldCharType="end"/>
                  </w:r>
                  <w:bookmarkEnd w:id="42"/>
                  <w:r>
                    <w:t xml:space="preserve"> : évolution de la concentration du secteur entre 2004 et 2014</w:t>
                  </w:r>
                </w:p>
              </w:txbxContent>
            </v:textbox>
            <w10:wrap type="tight"/>
          </v:shape>
        </w:pict>
      </w:r>
      <w:r w:rsidR="00F37521">
        <w:rPr>
          <w:noProof/>
        </w:rPr>
        <w:drawing>
          <wp:anchor distT="0" distB="0" distL="114300" distR="114300" simplePos="0" relativeHeight="251655168" behindDoc="1" locked="0" layoutInCell="1" allowOverlap="1">
            <wp:simplePos x="0" y="0"/>
            <wp:positionH relativeFrom="column">
              <wp:posOffset>-61595</wp:posOffset>
            </wp:positionH>
            <wp:positionV relativeFrom="paragraph">
              <wp:posOffset>-363220</wp:posOffset>
            </wp:positionV>
            <wp:extent cx="9256395" cy="6045200"/>
            <wp:effectExtent l="19050" t="0" r="1905" b="0"/>
            <wp:wrapTight wrapText="bothSides">
              <wp:wrapPolygon edited="0">
                <wp:start x="-44" y="0"/>
                <wp:lineTo x="-44" y="21509"/>
                <wp:lineTo x="21604" y="21509"/>
                <wp:lineTo x="21604" y="0"/>
                <wp:lineTo x="-44" y="0"/>
              </wp:wrapPolygon>
            </wp:wrapTight>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srcRect/>
                    <a:stretch>
                      <a:fillRect/>
                    </a:stretch>
                  </pic:blipFill>
                  <pic:spPr bwMode="auto">
                    <a:xfrm>
                      <a:off x="0" y="0"/>
                      <a:ext cx="9256395" cy="6045200"/>
                    </a:xfrm>
                    <a:prstGeom prst="rect">
                      <a:avLst/>
                    </a:prstGeom>
                    <a:noFill/>
                    <a:ln w="9525">
                      <a:noFill/>
                      <a:miter lim="800000"/>
                      <a:headEnd/>
                      <a:tailEnd/>
                    </a:ln>
                  </pic:spPr>
                </pic:pic>
              </a:graphicData>
            </a:graphic>
          </wp:anchor>
        </w:drawing>
      </w:r>
      <w:r w:rsidR="00F37521">
        <w:br w:type="page"/>
      </w:r>
    </w:p>
    <w:p w:rsidR="00704087" w:rsidRPr="003E7DA7" w:rsidRDefault="00C83EF3" w:rsidP="003E7DA7">
      <w:r>
        <w:rPr>
          <w:noProof/>
        </w:rPr>
        <w:lastRenderedPageBreak/>
        <w:pict>
          <v:shape id="_x0000_s1028" type="#_x0000_t202" style="position:absolute;left:0;text-align:left;margin-left:13.95pt;margin-top:451.2pt;width:668.35pt;height:23.5pt;z-index:251660288" wrapcoords="-22 0 -22 20945 21600 20945 21600 0 -22 0" stroked="f">
            <v:textbox style="mso-next-textbox:#_x0000_s1028;mso-fit-shape-to-text:t" inset="0,0,0,0">
              <w:txbxContent>
                <w:p w:rsidR="003E7DA7" w:rsidRPr="00A70217" w:rsidRDefault="003E7DA7" w:rsidP="00867837">
                  <w:pPr>
                    <w:pStyle w:val="Caption"/>
                    <w:rPr>
                      <w:noProof/>
                    </w:rPr>
                  </w:pPr>
                  <w:bookmarkStart w:id="43" w:name="_Ref451798613"/>
                  <w:r>
                    <w:t xml:space="preserve">Graphique  </w:t>
                  </w:r>
                  <w:r w:rsidR="00C83EF3">
                    <w:fldChar w:fldCharType="begin"/>
                  </w:r>
                  <w:r w:rsidR="00C83EF3">
                    <w:instrText xml:space="preserve"> SEQ Graphique_ \* ARABIC </w:instrText>
                  </w:r>
                  <w:r w:rsidR="00C83EF3">
                    <w:fldChar w:fldCharType="separate"/>
                  </w:r>
                  <w:r w:rsidR="00BE2688">
                    <w:rPr>
                      <w:noProof/>
                    </w:rPr>
                    <w:t>9</w:t>
                  </w:r>
                  <w:r w:rsidR="00C83EF3">
                    <w:rPr>
                      <w:noProof/>
                    </w:rPr>
                    <w:fldChar w:fldCharType="end"/>
                  </w:r>
                  <w:bookmarkEnd w:id="43"/>
                  <w:r>
                    <w:t xml:space="preserve"> : Répartition des entreprises du secteur par région en France</w:t>
                  </w:r>
                </w:p>
              </w:txbxContent>
            </v:textbox>
            <w10:wrap type="tight"/>
          </v:shape>
        </w:pict>
      </w:r>
      <w:r w:rsidR="00D221E9">
        <w:rPr>
          <w:noProof/>
        </w:rPr>
        <w:drawing>
          <wp:anchor distT="0" distB="0" distL="114300" distR="114300" simplePos="0" relativeHeight="251651072" behindDoc="1" locked="0" layoutInCell="1" allowOverlap="1">
            <wp:simplePos x="0" y="0"/>
            <wp:positionH relativeFrom="column">
              <wp:posOffset>-32385</wp:posOffset>
            </wp:positionH>
            <wp:positionV relativeFrom="paragraph">
              <wp:posOffset>-397510</wp:posOffset>
            </wp:positionV>
            <wp:extent cx="9256395" cy="6070600"/>
            <wp:effectExtent l="19050" t="0" r="1905" b="0"/>
            <wp:wrapTight wrapText="bothSides">
              <wp:wrapPolygon edited="0">
                <wp:start x="-44" y="0"/>
                <wp:lineTo x="-44" y="21555"/>
                <wp:lineTo x="21604" y="21555"/>
                <wp:lineTo x="21604" y="0"/>
                <wp:lineTo x="-44"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srcRect/>
                    <a:stretch>
                      <a:fillRect/>
                    </a:stretch>
                  </pic:blipFill>
                  <pic:spPr bwMode="auto">
                    <a:xfrm>
                      <a:off x="0" y="0"/>
                      <a:ext cx="9256395" cy="6070600"/>
                    </a:xfrm>
                    <a:prstGeom prst="rect">
                      <a:avLst/>
                    </a:prstGeom>
                    <a:noFill/>
                    <a:ln w="9525">
                      <a:noFill/>
                      <a:miter lim="800000"/>
                      <a:headEnd/>
                      <a:tailEnd/>
                    </a:ln>
                  </pic:spPr>
                </pic:pic>
              </a:graphicData>
            </a:graphic>
          </wp:anchor>
        </w:drawing>
      </w:r>
      <w:r w:rsidR="002C0483">
        <w:br w:type="page"/>
      </w:r>
      <w:r>
        <w:rPr>
          <w:noProof/>
        </w:rPr>
        <w:lastRenderedPageBreak/>
        <w:pict>
          <v:shape id="_x0000_s1036" type="#_x0000_t202" style="position:absolute;left:0;text-align:left;margin-left:-1.9pt;margin-top:453.4pt;width:704.5pt;height:35pt;z-index:251662336" wrapcoords="-22 0 -22 20736 21600 20736 21600 0 -22 0" stroked="f">
            <v:textbox style="mso-next-textbox:#_x0000_s1036;mso-fit-shape-to-text:t" inset="0,0,0,0">
              <w:txbxContent>
                <w:p w:rsidR="003E7DA7" w:rsidRPr="005C4DAA" w:rsidRDefault="003E7DA7" w:rsidP="007A3DB9">
                  <w:pPr>
                    <w:pStyle w:val="Caption"/>
                    <w:rPr>
                      <w:noProof/>
                    </w:rPr>
                  </w:pPr>
                  <w:bookmarkStart w:id="44" w:name="_Ref451800077"/>
                  <w:r>
                    <w:t xml:space="preserve">Graphique  </w:t>
                  </w:r>
                  <w:r w:rsidR="00C83EF3">
                    <w:fldChar w:fldCharType="begin"/>
                  </w:r>
                  <w:r w:rsidR="00C83EF3">
                    <w:instrText xml:space="preserve"> SEQ Graphique_ \* ARABIC </w:instrText>
                  </w:r>
                  <w:r w:rsidR="00C83EF3">
                    <w:fldChar w:fldCharType="separate"/>
                  </w:r>
                  <w:r w:rsidR="00BE2688">
                    <w:rPr>
                      <w:noProof/>
                    </w:rPr>
                    <w:t>10</w:t>
                  </w:r>
                  <w:r w:rsidR="00C83EF3">
                    <w:rPr>
                      <w:noProof/>
                    </w:rPr>
                    <w:fldChar w:fldCharType="end"/>
                  </w:r>
                  <w:bookmarkEnd w:id="44"/>
                  <w:r>
                    <w:t xml:space="preserve"> : évolution de la répartition des salariés selon la taille de l'entreprise dans le secteur 6202A de conseil en systèmes et logiciels informatiques en France</w:t>
                  </w:r>
                </w:p>
              </w:txbxContent>
            </v:textbox>
            <w10:wrap type="tight"/>
          </v:shape>
        </w:pict>
      </w:r>
      <w:r w:rsidR="007A3DB9">
        <w:rPr>
          <w:noProof/>
        </w:rPr>
        <w:drawing>
          <wp:anchor distT="0" distB="0" distL="114300" distR="114300" simplePos="0" relativeHeight="251653120" behindDoc="1" locked="0" layoutInCell="1" allowOverlap="1">
            <wp:simplePos x="0" y="0"/>
            <wp:positionH relativeFrom="column">
              <wp:posOffset>-24130</wp:posOffset>
            </wp:positionH>
            <wp:positionV relativeFrom="paragraph">
              <wp:posOffset>-360680</wp:posOffset>
            </wp:positionV>
            <wp:extent cx="9226550" cy="6061710"/>
            <wp:effectExtent l="19050" t="0" r="0" b="0"/>
            <wp:wrapTight wrapText="bothSides">
              <wp:wrapPolygon edited="0">
                <wp:start x="-45" y="0"/>
                <wp:lineTo x="-45" y="21519"/>
                <wp:lineTo x="21585" y="21519"/>
                <wp:lineTo x="21585" y="0"/>
                <wp:lineTo x="-45" y="0"/>
              </wp:wrapPolygon>
            </wp:wrapTight>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srcRect/>
                    <a:stretch>
                      <a:fillRect/>
                    </a:stretch>
                  </pic:blipFill>
                  <pic:spPr bwMode="auto">
                    <a:xfrm>
                      <a:off x="0" y="0"/>
                      <a:ext cx="9226550" cy="6061710"/>
                    </a:xfrm>
                    <a:prstGeom prst="rect">
                      <a:avLst/>
                    </a:prstGeom>
                    <a:noFill/>
                    <a:ln w="9525">
                      <a:noFill/>
                      <a:miter lim="800000"/>
                      <a:headEnd/>
                      <a:tailEnd/>
                    </a:ln>
                  </pic:spPr>
                </pic:pic>
              </a:graphicData>
            </a:graphic>
          </wp:anchor>
        </w:drawing>
      </w:r>
      <w:r w:rsidR="007A3DB9">
        <w:t xml:space="preserve"> </w:t>
      </w:r>
      <w:r w:rsidR="00F37521">
        <w:rPr>
          <w:kern w:val="28"/>
        </w:rPr>
        <w:br w:type="page"/>
      </w:r>
    </w:p>
    <w:p w:rsidR="005A1115" w:rsidRDefault="005A1115" w:rsidP="005A1115">
      <w:pPr>
        <w:pStyle w:val="Heading1"/>
      </w:pPr>
      <w:r>
        <w:lastRenderedPageBreak/>
        <w:t xml:space="preserve">  </w:t>
      </w:r>
      <w:bookmarkStart w:id="45" w:name="_Toc454836355"/>
      <w:r>
        <w:t xml:space="preserve">Forces, Faiblesses, Opportunités et Menaces </w:t>
      </w:r>
      <w:r w:rsidR="00AA5A88">
        <w:t>(SWOT)</w:t>
      </w:r>
      <w:bookmarkEnd w:id="45"/>
    </w:p>
    <w:tbl>
      <w:tblPr>
        <w:tblW w:w="13280" w:type="dxa"/>
        <w:jc w:val="center"/>
        <w:tblCellMar>
          <w:left w:w="70" w:type="dxa"/>
          <w:right w:w="70" w:type="dxa"/>
        </w:tblCellMar>
        <w:tblLook w:val="04A0" w:firstRow="1" w:lastRow="0" w:firstColumn="1" w:lastColumn="0" w:noHBand="0" w:noVBand="1"/>
      </w:tblPr>
      <w:tblGrid>
        <w:gridCol w:w="6640"/>
        <w:gridCol w:w="6640"/>
      </w:tblGrid>
      <w:tr w:rsidR="0080426D" w:rsidRPr="0080426D" w:rsidTr="0080426D">
        <w:trPr>
          <w:trHeight w:val="360"/>
          <w:jc w:val="center"/>
        </w:trPr>
        <w:tc>
          <w:tcPr>
            <w:tcW w:w="6640" w:type="dxa"/>
            <w:tcBorders>
              <w:top w:val="single" w:sz="8" w:space="0" w:color="auto"/>
              <w:left w:val="single" w:sz="8" w:space="0" w:color="auto"/>
              <w:bottom w:val="nil"/>
              <w:right w:val="single" w:sz="8" w:space="0" w:color="auto"/>
            </w:tcBorders>
            <w:shd w:val="clear" w:color="000000" w:fill="E2EFDA"/>
            <w:vAlign w:val="center"/>
            <w:hideMark/>
          </w:tcPr>
          <w:p w:rsidR="0080426D" w:rsidRPr="0080426D" w:rsidRDefault="0080426D" w:rsidP="0080426D">
            <w:pPr>
              <w:spacing w:before="0" w:after="0"/>
              <w:ind w:left="0"/>
              <w:jc w:val="center"/>
              <w:rPr>
                <w:b/>
                <w:bCs/>
                <w:color w:val="FF0000"/>
                <w:sz w:val="28"/>
                <w:szCs w:val="28"/>
              </w:rPr>
            </w:pPr>
            <w:r w:rsidRPr="0080426D">
              <w:rPr>
                <w:b/>
                <w:bCs/>
                <w:color w:val="FF0000"/>
                <w:sz w:val="28"/>
                <w:szCs w:val="22"/>
              </w:rPr>
              <w:t>Forces</w:t>
            </w:r>
          </w:p>
        </w:tc>
        <w:tc>
          <w:tcPr>
            <w:tcW w:w="6640" w:type="dxa"/>
            <w:tcBorders>
              <w:top w:val="single" w:sz="8" w:space="0" w:color="auto"/>
              <w:left w:val="nil"/>
              <w:bottom w:val="nil"/>
              <w:right w:val="single" w:sz="8" w:space="0" w:color="auto"/>
            </w:tcBorders>
            <w:shd w:val="clear" w:color="000000" w:fill="E2EFDA"/>
            <w:vAlign w:val="center"/>
            <w:hideMark/>
          </w:tcPr>
          <w:p w:rsidR="0080426D" w:rsidRPr="0080426D" w:rsidRDefault="0080426D" w:rsidP="0080426D">
            <w:pPr>
              <w:spacing w:before="0" w:after="0"/>
              <w:ind w:left="0"/>
              <w:jc w:val="center"/>
              <w:rPr>
                <w:b/>
                <w:bCs/>
                <w:color w:val="FF0000"/>
                <w:sz w:val="28"/>
                <w:szCs w:val="28"/>
              </w:rPr>
            </w:pPr>
            <w:r w:rsidRPr="0080426D">
              <w:rPr>
                <w:b/>
                <w:bCs/>
                <w:color w:val="FF0000"/>
                <w:sz w:val="28"/>
                <w:szCs w:val="22"/>
              </w:rPr>
              <w:t>Faiblesses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Externalisation</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Maturité du marché</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Nouvelles technologies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Déficit des ingénieurs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Hausse des dépenses IT</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Petites structures mono</w:t>
            </w:r>
            <w:r w:rsidR="001D1DA1">
              <w:rPr>
                <w:rFonts w:ascii="Times New Roman" w:hAnsi="Times New Roman" w:cs="Times New Roman"/>
                <w:color w:val="000000"/>
                <w:szCs w:val="22"/>
              </w:rPr>
              <w:t>-</w:t>
            </w:r>
            <w:r w:rsidRPr="0080426D">
              <w:rPr>
                <w:rFonts w:ascii="Times New Roman" w:hAnsi="Times New Roman" w:cs="Times New Roman"/>
                <w:color w:val="000000"/>
                <w:szCs w:val="22"/>
              </w:rPr>
              <w:t>client</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France zone attractive pour le cloud</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Baisse des investissements généraux</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20% du marché concerne la finance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Baisse des prix des prestations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Présent dans plusieurs secteurs d’activité et de zone géographique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Marché français petit pour le cloud</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Bonnes relations clientes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30% du marché concerne l’industrie</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Réseaux de partenariat solide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xml:space="preserve">          Forte dépendance de l’entreprise </w:t>
            </w:r>
            <w:r w:rsidR="001D1DA1" w:rsidRPr="0080426D">
              <w:rPr>
                <w:rFonts w:ascii="Times New Roman" w:hAnsi="Times New Roman" w:cs="Times New Roman"/>
                <w:color w:val="000000"/>
                <w:szCs w:val="22"/>
              </w:rPr>
              <w:t>vis-à-vis</w:t>
            </w:r>
            <w:r w:rsidRPr="0080426D">
              <w:rPr>
                <w:rFonts w:ascii="Times New Roman" w:hAnsi="Times New Roman" w:cs="Times New Roman"/>
                <w:color w:val="000000"/>
                <w:szCs w:val="22"/>
              </w:rPr>
              <w:t xml:space="preserve"> de ses consultants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Forte croissance de la recherche et développement</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Faibles barrières à l’entrée</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Faible coûts fixes de structure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color w:val="000000"/>
                <w:szCs w:val="22"/>
              </w:rPr>
            </w:pPr>
            <w:r w:rsidRPr="0080426D">
              <w:rPr>
                <w:color w:val="000000"/>
                <w:szCs w:val="22"/>
              </w:rPr>
              <w:t> </w:t>
            </w:r>
          </w:p>
        </w:tc>
      </w:tr>
      <w:tr w:rsidR="0080426D" w:rsidRPr="0080426D" w:rsidTr="0080426D">
        <w:trPr>
          <w:trHeight w:val="315"/>
          <w:jc w:val="center"/>
        </w:trPr>
        <w:tc>
          <w:tcPr>
            <w:tcW w:w="6640" w:type="dxa"/>
            <w:tcBorders>
              <w:top w:val="nil"/>
              <w:left w:val="single" w:sz="8" w:space="0" w:color="auto"/>
              <w:bottom w:val="single" w:sz="8" w:space="0" w:color="auto"/>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Marché en cours de consolidation</w:t>
            </w:r>
          </w:p>
        </w:tc>
        <w:tc>
          <w:tcPr>
            <w:tcW w:w="6640" w:type="dxa"/>
            <w:tcBorders>
              <w:top w:val="nil"/>
              <w:left w:val="nil"/>
              <w:bottom w:val="single" w:sz="8" w:space="0" w:color="auto"/>
              <w:right w:val="single" w:sz="8" w:space="0" w:color="auto"/>
            </w:tcBorders>
            <w:shd w:val="clear" w:color="auto" w:fill="auto"/>
            <w:hideMark/>
          </w:tcPr>
          <w:p w:rsidR="0080426D" w:rsidRPr="0080426D" w:rsidRDefault="0080426D" w:rsidP="0080426D">
            <w:pPr>
              <w:spacing w:before="0" w:after="0"/>
              <w:ind w:left="0"/>
              <w:jc w:val="left"/>
              <w:rPr>
                <w:rFonts w:ascii="Calibri" w:hAnsi="Calibri" w:cs="Times New Roman"/>
                <w:color w:val="000000"/>
                <w:szCs w:val="22"/>
              </w:rPr>
            </w:pPr>
            <w:r w:rsidRPr="0080426D">
              <w:rPr>
                <w:rFonts w:ascii="Calibri" w:hAnsi="Calibri" w:cs="Times New Roman"/>
                <w:color w:val="000000"/>
                <w:szCs w:val="22"/>
              </w:rPr>
              <w:t> </w:t>
            </w:r>
          </w:p>
        </w:tc>
      </w:tr>
      <w:tr w:rsidR="0080426D" w:rsidRPr="0080426D" w:rsidTr="0080426D">
        <w:trPr>
          <w:trHeight w:val="360"/>
          <w:jc w:val="center"/>
        </w:trPr>
        <w:tc>
          <w:tcPr>
            <w:tcW w:w="6640" w:type="dxa"/>
            <w:tcBorders>
              <w:top w:val="nil"/>
              <w:left w:val="single" w:sz="8" w:space="0" w:color="auto"/>
              <w:bottom w:val="nil"/>
              <w:right w:val="single" w:sz="8" w:space="0" w:color="auto"/>
            </w:tcBorders>
            <w:shd w:val="clear" w:color="000000" w:fill="E2EFDA"/>
            <w:vAlign w:val="center"/>
            <w:hideMark/>
          </w:tcPr>
          <w:p w:rsidR="0080426D" w:rsidRPr="0080426D" w:rsidRDefault="0080426D" w:rsidP="0080426D">
            <w:pPr>
              <w:spacing w:before="0" w:after="0"/>
              <w:ind w:left="0"/>
              <w:jc w:val="center"/>
              <w:rPr>
                <w:b/>
                <w:bCs/>
                <w:color w:val="FF0000"/>
                <w:sz w:val="28"/>
                <w:szCs w:val="28"/>
              </w:rPr>
            </w:pPr>
            <w:r w:rsidRPr="0080426D">
              <w:rPr>
                <w:b/>
                <w:bCs/>
                <w:color w:val="FF0000"/>
                <w:sz w:val="28"/>
                <w:szCs w:val="22"/>
              </w:rPr>
              <w:t>Opportunités</w:t>
            </w:r>
          </w:p>
        </w:tc>
        <w:tc>
          <w:tcPr>
            <w:tcW w:w="6640" w:type="dxa"/>
            <w:tcBorders>
              <w:top w:val="nil"/>
              <w:left w:val="nil"/>
              <w:bottom w:val="nil"/>
              <w:right w:val="single" w:sz="8" w:space="0" w:color="auto"/>
            </w:tcBorders>
            <w:shd w:val="clear" w:color="000000" w:fill="E2EFDA"/>
            <w:vAlign w:val="center"/>
            <w:hideMark/>
          </w:tcPr>
          <w:p w:rsidR="0080426D" w:rsidRPr="0080426D" w:rsidRDefault="0080426D" w:rsidP="0080426D">
            <w:pPr>
              <w:spacing w:before="0" w:after="0"/>
              <w:ind w:left="0"/>
              <w:jc w:val="center"/>
              <w:rPr>
                <w:b/>
                <w:bCs/>
                <w:color w:val="FF0000"/>
                <w:sz w:val="28"/>
                <w:szCs w:val="28"/>
              </w:rPr>
            </w:pPr>
            <w:r w:rsidRPr="0080426D">
              <w:rPr>
                <w:b/>
                <w:bCs/>
                <w:color w:val="FF0000"/>
                <w:sz w:val="28"/>
                <w:szCs w:val="22"/>
              </w:rPr>
              <w:t>Menaces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Pays les plus « intensif en logiciel libre »</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CA stagne en 2013</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Nouveaux modèles économiques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Allongement du cycle de décision</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DSI cherchent à diminuer les dépenses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Tension sur les prix</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Partenariats avec de grands opérateurs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Tentation d’externalisation offshore</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Développement de Data</w:t>
            </w:r>
            <w:r w:rsidR="001D1DA1">
              <w:rPr>
                <w:rFonts w:ascii="Times New Roman" w:hAnsi="Times New Roman" w:cs="Times New Roman"/>
                <w:color w:val="000000"/>
                <w:szCs w:val="22"/>
              </w:rPr>
              <w:t xml:space="preserve"> </w:t>
            </w:r>
            <w:r w:rsidRPr="0080426D">
              <w:rPr>
                <w:rFonts w:ascii="Times New Roman" w:hAnsi="Times New Roman" w:cs="Times New Roman"/>
                <w:color w:val="000000"/>
                <w:szCs w:val="22"/>
              </w:rPr>
              <w:t>Centers avec aides publiques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Inflation des structures freelance</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Programmes européens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xml:space="preserve">          Lockin d’acteurs </w:t>
            </w:r>
            <w:r w:rsidR="001D1DA1" w:rsidRPr="0080426D">
              <w:rPr>
                <w:rFonts w:ascii="Times New Roman" w:hAnsi="Times New Roman" w:cs="Times New Roman"/>
                <w:color w:val="000000"/>
                <w:szCs w:val="22"/>
              </w:rPr>
              <w:t>nord</w:t>
            </w:r>
            <w:r w:rsidR="001D1DA1">
              <w:rPr>
                <w:rFonts w:ascii="Times New Roman" w:hAnsi="Times New Roman" w:cs="Times New Roman"/>
                <w:color w:val="000000"/>
                <w:szCs w:val="22"/>
              </w:rPr>
              <w:t>-</w:t>
            </w:r>
            <w:r w:rsidR="001D1DA1" w:rsidRPr="0080426D">
              <w:rPr>
                <w:rFonts w:ascii="Times New Roman" w:hAnsi="Times New Roman" w:cs="Times New Roman"/>
                <w:color w:val="000000"/>
                <w:szCs w:val="22"/>
              </w:rPr>
              <w:t>américains</w:t>
            </w:r>
            <w:r w:rsidRPr="0080426D">
              <w:rPr>
                <w:rFonts w:ascii="Times New Roman" w:hAnsi="Times New Roman" w:cs="Times New Roman"/>
                <w:color w:val="000000"/>
                <w:szCs w:val="22"/>
              </w:rPr>
              <w:t xml:space="preserve"> sur leurs technologies Cloud, </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Nouveau service à forte valeur ajoutée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Asphyxie des acteurs français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Nouveaux marché dans les pays à forte croissance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Forte concurrence</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Augmentation de la part du cloud dans le service</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Volatilité et conditions économiques incertains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Forte croissance de la part des fusions &amp; acquisitions</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Risque de devises étrangères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Demande croissante des services SMACSI</w:t>
            </w:r>
          </w:p>
        </w:tc>
        <w:tc>
          <w:tcPr>
            <w:tcW w:w="6640" w:type="dxa"/>
            <w:tcBorders>
              <w:top w:val="nil"/>
              <w:left w:val="nil"/>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Nécessité d’adaptation rapide aux nouvelles technologies</w:t>
            </w:r>
          </w:p>
        </w:tc>
      </w:tr>
      <w:tr w:rsidR="0080426D" w:rsidRPr="0080426D" w:rsidTr="0080426D">
        <w:trPr>
          <w:trHeight w:val="300"/>
          <w:jc w:val="center"/>
        </w:trPr>
        <w:tc>
          <w:tcPr>
            <w:tcW w:w="6640" w:type="dxa"/>
            <w:tcBorders>
              <w:top w:val="nil"/>
              <w:left w:val="single" w:sz="8" w:space="0" w:color="auto"/>
              <w:bottom w:val="nil"/>
              <w:right w:val="single" w:sz="8" w:space="0" w:color="auto"/>
            </w:tcBorders>
            <w:shd w:val="clear" w:color="auto" w:fill="auto"/>
            <w:vAlign w:val="center"/>
            <w:hideMark/>
          </w:tcPr>
          <w:p w:rsidR="0080426D" w:rsidRPr="0080426D" w:rsidRDefault="0080426D" w:rsidP="0080426D">
            <w:pPr>
              <w:spacing w:before="0" w:after="0"/>
              <w:ind w:left="0"/>
              <w:rPr>
                <w:rFonts w:ascii="Times New Roman" w:hAnsi="Times New Roman" w:cs="Times New Roman"/>
                <w:color w:val="000000"/>
                <w:szCs w:val="22"/>
              </w:rPr>
            </w:pPr>
            <w:r w:rsidRPr="0080426D">
              <w:rPr>
                <w:rFonts w:ascii="Times New Roman" w:hAnsi="Times New Roman" w:cs="Times New Roman"/>
                <w:color w:val="000000"/>
                <w:szCs w:val="22"/>
              </w:rPr>
              <w:t>          Services informatiques sous</w:t>
            </w:r>
            <w:r w:rsidR="001D1DA1">
              <w:rPr>
                <w:rFonts w:ascii="Times New Roman" w:hAnsi="Times New Roman" w:cs="Times New Roman"/>
                <w:color w:val="000000"/>
                <w:szCs w:val="22"/>
              </w:rPr>
              <w:t xml:space="preserve"> </w:t>
            </w:r>
            <w:r w:rsidRPr="0080426D">
              <w:rPr>
                <w:rFonts w:ascii="Times New Roman" w:hAnsi="Times New Roman" w:cs="Times New Roman"/>
                <w:color w:val="000000"/>
                <w:szCs w:val="22"/>
              </w:rPr>
              <w:t>développé aux pays émergents</w:t>
            </w:r>
          </w:p>
        </w:tc>
        <w:tc>
          <w:tcPr>
            <w:tcW w:w="6640" w:type="dxa"/>
            <w:tcBorders>
              <w:top w:val="nil"/>
              <w:left w:val="nil"/>
              <w:bottom w:val="nil"/>
              <w:right w:val="single" w:sz="8" w:space="0" w:color="auto"/>
            </w:tcBorders>
            <w:shd w:val="clear" w:color="auto" w:fill="auto"/>
            <w:hideMark/>
          </w:tcPr>
          <w:p w:rsidR="0080426D" w:rsidRPr="0080426D" w:rsidRDefault="0080426D" w:rsidP="0080426D">
            <w:pPr>
              <w:spacing w:before="0" w:after="0"/>
              <w:ind w:left="0"/>
              <w:jc w:val="left"/>
              <w:rPr>
                <w:rFonts w:ascii="Calibri" w:hAnsi="Calibri" w:cs="Times New Roman"/>
                <w:color w:val="000000"/>
                <w:szCs w:val="22"/>
              </w:rPr>
            </w:pPr>
            <w:r w:rsidRPr="0080426D">
              <w:rPr>
                <w:rFonts w:ascii="Calibri" w:hAnsi="Calibri" w:cs="Times New Roman"/>
                <w:color w:val="000000"/>
                <w:szCs w:val="22"/>
              </w:rPr>
              <w:t> </w:t>
            </w:r>
          </w:p>
        </w:tc>
      </w:tr>
      <w:tr w:rsidR="0080426D" w:rsidRPr="0080426D" w:rsidTr="0080426D">
        <w:trPr>
          <w:trHeight w:val="315"/>
          <w:jc w:val="center"/>
        </w:trPr>
        <w:tc>
          <w:tcPr>
            <w:tcW w:w="6640" w:type="dxa"/>
            <w:tcBorders>
              <w:top w:val="nil"/>
              <w:left w:val="single" w:sz="8" w:space="0" w:color="auto"/>
              <w:bottom w:val="single" w:sz="8" w:space="0" w:color="auto"/>
              <w:right w:val="single" w:sz="8" w:space="0" w:color="auto"/>
            </w:tcBorders>
            <w:shd w:val="clear" w:color="auto" w:fill="auto"/>
            <w:vAlign w:val="center"/>
            <w:hideMark/>
          </w:tcPr>
          <w:p w:rsidR="0080426D" w:rsidRPr="0080426D" w:rsidRDefault="0080426D" w:rsidP="0080426D">
            <w:pPr>
              <w:spacing w:before="0" w:after="0"/>
              <w:ind w:left="0"/>
              <w:rPr>
                <w:color w:val="000000"/>
                <w:szCs w:val="22"/>
              </w:rPr>
            </w:pPr>
            <w:r w:rsidRPr="0080426D">
              <w:rPr>
                <w:color w:val="000000"/>
                <w:szCs w:val="22"/>
              </w:rPr>
              <w:t> </w:t>
            </w:r>
          </w:p>
        </w:tc>
        <w:tc>
          <w:tcPr>
            <w:tcW w:w="6640" w:type="dxa"/>
            <w:tcBorders>
              <w:top w:val="nil"/>
              <w:left w:val="nil"/>
              <w:bottom w:val="single" w:sz="8" w:space="0" w:color="auto"/>
              <w:right w:val="single" w:sz="8" w:space="0" w:color="auto"/>
            </w:tcBorders>
            <w:shd w:val="clear" w:color="auto" w:fill="auto"/>
            <w:hideMark/>
          </w:tcPr>
          <w:p w:rsidR="0080426D" w:rsidRPr="0080426D" w:rsidRDefault="0080426D" w:rsidP="0080426D">
            <w:pPr>
              <w:spacing w:before="0" w:after="0"/>
              <w:ind w:left="0"/>
              <w:jc w:val="left"/>
              <w:rPr>
                <w:rFonts w:ascii="Calibri" w:hAnsi="Calibri" w:cs="Times New Roman"/>
                <w:color w:val="000000"/>
                <w:szCs w:val="22"/>
              </w:rPr>
            </w:pPr>
            <w:r w:rsidRPr="0080426D">
              <w:rPr>
                <w:rFonts w:ascii="Calibri" w:hAnsi="Calibri" w:cs="Times New Roman"/>
                <w:color w:val="000000"/>
                <w:szCs w:val="22"/>
              </w:rPr>
              <w:t> </w:t>
            </w:r>
          </w:p>
        </w:tc>
      </w:tr>
    </w:tbl>
    <w:p w:rsidR="0080426D" w:rsidRDefault="0080426D" w:rsidP="0080426D"/>
    <w:p w:rsidR="00806CF3" w:rsidRDefault="00814432" w:rsidP="00814432">
      <w:pPr>
        <w:pStyle w:val="Heading1"/>
        <w:numPr>
          <w:ilvl w:val="0"/>
          <w:numId w:val="0"/>
        </w:numPr>
        <w:ind w:left="431"/>
      </w:pPr>
      <w:bookmarkStart w:id="46" w:name="_Toc454836356"/>
      <w:r>
        <w:lastRenderedPageBreak/>
        <w:t>Conclusion prospective</w:t>
      </w:r>
      <w:bookmarkEnd w:id="46"/>
      <w:r>
        <w:t xml:space="preserve"> </w:t>
      </w:r>
    </w:p>
    <w:p w:rsidR="00814432" w:rsidRDefault="00814432" w:rsidP="001B7AB9">
      <w:r>
        <w:t xml:space="preserve">Les ESN n’échappent pas au phénomène de digitalisation, elles doivent aussi se transformer. </w:t>
      </w:r>
      <w:r w:rsidRPr="00F2671B">
        <w:t>En effet, comme les entreprises des autres secteurs, elles doivent mettre en place des plateformes digitales pour faciliter la collaboration des équipes et des clients à travers des technologies modernes</w:t>
      </w:r>
      <w:r>
        <w:t xml:space="preserve">. </w:t>
      </w:r>
    </w:p>
    <w:p w:rsidR="00814432" w:rsidRDefault="00814432" w:rsidP="001B7AB9">
      <w:r>
        <w:t xml:space="preserve">Nous pensons que ces entreprises risquent d’être victimes du phénomène d’ubérisation en plus. En effet, la volonté des DSI clientes de réduire les coûts et la pression des consultants qui veulent toujours gagner plus, les obligent à avoir des marges de plus en plus faibles. </w:t>
      </w:r>
      <w:r w:rsidRPr="003D2BA7">
        <w:t xml:space="preserve">Les technologies de l'information </w:t>
      </w:r>
      <w:r>
        <w:t>évoluent rapidement</w:t>
      </w:r>
      <w:r w:rsidRPr="003D2BA7">
        <w:t xml:space="preserve"> dans cette première période de 3</w:t>
      </w:r>
      <w:r w:rsidRPr="003D2BA7">
        <w:rPr>
          <w:vertAlign w:val="superscript"/>
        </w:rPr>
        <w:t>ème</w:t>
      </w:r>
      <w:r w:rsidRPr="003D2BA7">
        <w:t xml:space="preserve"> révolution industrielle à cause de</w:t>
      </w:r>
      <w:r>
        <w:t>s</w:t>
      </w:r>
      <w:r w:rsidRPr="003D2BA7">
        <w:t xml:space="preserve"> opportunités d'innovation</w:t>
      </w:r>
      <w:r>
        <w:t xml:space="preserve"> techniques</w:t>
      </w:r>
      <w:r w:rsidRPr="003D2BA7">
        <w:t>. Pour l'instant le modèle économique des ESN</w:t>
      </w:r>
      <w:r>
        <w:t xml:space="preserve"> qui consiste à recruter des consultants et à les placer chez les clients pendant la durée la plus longue possible,</w:t>
      </w:r>
      <w:r w:rsidRPr="003D2BA7">
        <w:t xml:space="preserve"> pourra résister encore </w:t>
      </w:r>
      <w:r>
        <w:t>pendant cette étape de révolution</w:t>
      </w:r>
      <w:r w:rsidRPr="003D2BA7">
        <w:t>. Cette période se stabilisera et les technologies seront standardisées</w:t>
      </w:r>
      <w:r>
        <w:t xml:space="preserve"> comme à chaque révolution industrielle</w:t>
      </w:r>
      <w:r w:rsidRPr="003D2BA7">
        <w:t>. La pression sur les prix va continuer et le modèle ne pourra plus résister.</w:t>
      </w:r>
      <w:r>
        <w:t xml:space="preserve"> Il est nécessaire de disrupter ce business model et trouver un moyen pour créer de la valeur pour les consultants qui veulent gagner plus, pour les clients qui veulent payer moins et pour les ESN en même temps. </w:t>
      </w:r>
    </w:p>
    <w:p w:rsidR="00814432" w:rsidRDefault="00814432" w:rsidP="001B7AB9">
      <w:r>
        <w:t xml:space="preserve">L’idée est de mettre en place une plateforme (qu’on appelle ici l’Uber des ESN) qui fait le lien entre les consultants, qui deviennent </w:t>
      </w:r>
      <w:r w:rsidRPr="00326C02">
        <w:rPr>
          <w:u w:val="single"/>
        </w:rPr>
        <w:t>indépendants</w:t>
      </w:r>
      <w:r>
        <w:rPr>
          <w:u w:val="single"/>
        </w:rPr>
        <w:t>,</w:t>
      </w:r>
      <w:r>
        <w:t xml:space="preserve"> et les clients avec un système de « e-réputation » (c'est-à-dire de notation et recommandation des services offerts). A travers cette plateforme, les consultants pourront choisir leurs missions et pourrons fixer leur prix. Ce nouveau Uber recevra des cash-flows à travers des commissions sur chaque transaction entre un consultant et son client. Il existe déjà des plateformes de freelance qui proposent des missions à des indépendants. Mais cet Uber des ESN aura une plateforme plus riche sous forme de réseau social et proposes des services pour les consultants comme des formations sous forme de MOOC avec certifications et des services de gestion et de collaboration en ligne avec d’autres consultants. Cette plateforme proposera aussi des accès aux plateformes des partenaires comme Gartner, PAC, IDC etc. qui sont des outils très intéressants pour les consultants car c’est une source de formation et de veille technologique. Cet Uber aura une très petite marge par transaction (c'est-à-dire par consultation) mais beaucoup plus de transactions que les plus grandes ESN d’aujourd’hui. Le</w:t>
      </w:r>
      <w:r w:rsidRPr="003D2BA7">
        <w:t xml:space="preserve"> commercial de la vieille ESN qui cache les meilleu</w:t>
      </w:r>
      <w:r>
        <w:t>res missions et ne les propose</w:t>
      </w:r>
      <w:r w:rsidRPr="003D2BA7">
        <w:t xml:space="preserve"> qu'à ses amis</w:t>
      </w:r>
      <w:r>
        <w:t> sera remplacé par un algorithme de matching plus intelligent. Cet algorithme n’est pas seulement plus efficient mais en plus il travaille gratuitement, ou en tout cas avec un coût beaucoup plus faible.</w:t>
      </w:r>
      <w:r w:rsidRPr="003D2BA7">
        <w:t xml:space="preserve"> </w:t>
      </w:r>
      <w:r>
        <w:t>L</w:t>
      </w:r>
      <w:r w:rsidRPr="003D2BA7">
        <w:t>e chef d</w:t>
      </w:r>
      <w:r>
        <w:t xml:space="preserve">’un </w:t>
      </w:r>
      <w:r w:rsidRPr="003D2BA7">
        <w:t xml:space="preserve">projet </w:t>
      </w:r>
      <w:r>
        <w:t xml:space="preserve">digital </w:t>
      </w:r>
      <w:r w:rsidRPr="003D2BA7">
        <w:t xml:space="preserve">sera un consultant indépendant </w:t>
      </w:r>
      <w:r>
        <w:t>aussi et</w:t>
      </w:r>
      <w:r w:rsidRPr="003D2BA7">
        <w:t xml:space="preserve"> pourra </w:t>
      </w:r>
      <w:r>
        <w:t>communiquer avec</w:t>
      </w:r>
      <w:r w:rsidRPr="003D2BA7">
        <w:t xml:space="preserve"> son équipe en ligne. Cette plateforme permettra de constituer des équipes de projets venants de tous les pays pour collaborer sur </w:t>
      </w:r>
      <w:r>
        <w:t>un même projet pour un client</w:t>
      </w:r>
      <w:r w:rsidRPr="003D2BA7">
        <w:t xml:space="preserve">. </w:t>
      </w:r>
    </w:p>
    <w:p w:rsidR="00814432" w:rsidRDefault="00814432" w:rsidP="001B7AB9">
      <w:r w:rsidRPr="003D2BA7">
        <w:t xml:space="preserve">La réputation est un facteur clé de succès dans ce secteur. Les consultants seront incités à offrir des prestations de qualité car ils seront notés par les clients. </w:t>
      </w:r>
      <w:r>
        <w:t xml:space="preserve">L’existence potentielle de cet Uber menace principalement les grandes entreprises. Aujourd’hui ces entreprises ont les moyens pour investir dans cette plateforme. La grande entreprise qui lancera sa première plateforme pourra l’alimenter d’abord avec ses consultants et l’ouvrira ensuite aux consultants des autres entreprises. Ce qui lui permet d’absorber des concurrents à travers l’attraction de ses consultants et de grandir exponentiellement par effet réseau. </w:t>
      </w:r>
    </w:p>
    <w:p w:rsidR="00EF2230" w:rsidRDefault="00814432" w:rsidP="001B7AB9">
      <w:r>
        <w:t xml:space="preserve">Même si ces grandes entreprises refusent de disrupter leur modèle actuel, le réseau social professionnel Linkedin est bien placé pour le faire à leur place ! En effet, Linkedin a déjà racheté des entreprises de formations en ligne comme video2brain.com et Lynda.com qui sont des services très utiles pour les consultants qui veulent se former en continue. Le futur nous dira ce qui se passera dans ce secteur. </w:t>
      </w:r>
    </w:p>
    <w:sectPr w:rsidR="00EF2230" w:rsidSect="00154899">
      <w:headerReference w:type="default" r:id="rId28"/>
      <w:footerReference w:type="default" r:id="rId29"/>
      <w:headerReference w:type="first" r:id="rId30"/>
      <w:pgSz w:w="16838" w:h="11906"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F3" w:rsidRDefault="00C83EF3" w:rsidP="00AF22F5">
      <w:r>
        <w:separator/>
      </w:r>
    </w:p>
  </w:endnote>
  <w:endnote w:type="continuationSeparator" w:id="0">
    <w:p w:rsidR="00C83EF3" w:rsidRDefault="00C83EF3" w:rsidP="00AF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A7" w:rsidRDefault="00C83EF3" w:rsidP="008E474D">
    <w:pPr>
      <w:pStyle w:val="Footer"/>
      <w:jc w:val="right"/>
    </w:pPr>
    <w:sdt>
      <w:sdtPr>
        <w:id w:val="9659442"/>
        <w:docPartObj>
          <w:docPartGallery w:val="Page Numbers (Bottom of Page)"/>
          <w:docPartUnique/>
        </w:docPartObj>
      </w:sdtPr>
      <w:sdtEndPr/>
      <w:sdtContent>
        <w:r w:rsidR="003E7DA7">
          <w:fldChar w:fldCharType="begin"/>
        </w:r>
        <w:r w:rsidR="003E7DA7">
          <w:instrText xml:space="preserve"> PAGE   \* MERGEFORMAT </w:instrText>
        </w:r>
        <w:r w:rsidR="003E7DA7">
          <w:fldChar w:fldCharType="separate"/>
        </w:r>
        <w:r w:rsidR="00BE2688">
          <w:rPr>
            <w:noProof/>
          </w:rPr>
          <w:t>22</w:t>
        </w:r>
        <w:r w:rsidR="003E7DA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F3" w:rsidRDefault="00C83EF3" w:rsidP="00AF22F5">
      <w:r>
        <w:separator/>
      </w:r>
    </w:p>
  </w:footnote>
  <w:footnote w:type="continuationSeparator" w:id="0">
    <w:p w:rsidR="00C83EF3" w:rsidRDefault="00C83EF3" w:rsidP="00AF22F5">
      <w:r>
        <w:continuationSeparator/>
      </w:r>
    </w:p>
  </w:footnote>
  <w:footnote w:id="1">
    <w:p w:rsidR="003E7DA7" w:rsidRDefault="003E7DA7">
      <w:pPr>
        <w:pStyle w:val="FootnoteText"/>
      </w:pPr>
      <w:r>
        <w:rPr>
          <w:rStyle w:val="FootnoteReference"/>
        </w:rPr>
        <w:footnoteRef/>
      </w:r>
      <w:r>
        <w:t xml:space="preserve"> Le taux d’exportation n’est pas très important dans ce secteur car le conseil nécessite généralement une proximité avec le client. </w:t>
      </w:r>
    </w:p>
  </w:footnote>
  <w:footnote w:id="2">
    <w:p w:rsidR="003E7DA7" w:rsidRDefault="003E7DA7" w:rsidP="000D3DE1">
      <w:pPr>
        <w:pStyle w:val="FootnoteText"/>
      </w:pPr>
      <w:r>
        <w:rPr>
          <w:rStyle w:val="FootnoteReference"/>
        </w:rPr>
        <w:footnoteRef/>
      </w:r>
      <w:r>
        <w:t xml:space="preserve"> AP Management est un cabinet de conseil M&amp;A spécialisé dans le secteur 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884" w:type="dxa"/>
      <w:tblLayout w:type="fixed"/>
      <w:tblCellMar>
        <w:left w:w="0" w:type="dxa"/>
        <w:right w:w="0" w:type="dxa"/>
      </w:tblCellMar>
      <w:tblLook w:val="0000" w:firstRow="0" w:lastRow="0" w:firstColumn="0" w:lastColumn="0" w:noHBand="0" w:noVBand="0"/>
    </w:tblPr>
    <w:tblGrid>
      <w:gridCol w:w="20"/>
      <w:gridCol w:w="14722"/>
      <w:gridCol w:w="142"/>
    </w:tblGrid>
    <w:tr w:rsidR="003E7DA7" w:rsidRPr="00005D16" w:rsidTr="00857EF7">
      <w:trPr>
        <w:cantSplit/>
        <w:trHeight w:val="154"/>
      </w:trPr>
      <w:tc>
        <w:tcPr>
          <w:tcW w:w="20" w:type="dxa"/>
          <w:shd w:val="clear" w:color="auto" w:fill="auto"/>
          <w:vAlign w:val="center"/>
        </w:tcPr>
        <w:p w:rsidR="003E7DA7" w:rsidRPr="00160060" w:rsidRDefault="00C83EF3" w:rsidP="00AF22F5">
          <w:pPr>
            <w:rPr>
              <w:rFonts w:cs="Tahoma"/>
            </w:rPr>
          </w:pPr>
          <w:r>
            <w:rPr>
              <w:noProof/>
            </w:rPr>
            <w:pict>
              <v:rect id="Rectangle 2" o:spid="_x0000_s2049" style="position:absolute;left:0;text-align:left;margin-left:-25.6pt;margin-top:-329.75pt;width:18pt;height:114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" stroked="f">
                <v:fill color2="#fc0" rotate="t" focus="100%" type="gradient"/>
              </v:rect>
            </w:pict>
          </w:r>
        </w:p>
      </w:tc>
      <w:tc>
        <w:tcPr>
          <w:tcW w:w="14722" w:type="dxa"/>
          <w:vAlign w:val="center"/>
        </w:tcPr>
        <w:p w:rsidR="003E7DA7" w:rsidRPr="00FA5187" w:rsidRDefault="00C83EF3" w:rsidP="00434B76">
          <w:pPr>
            <w:pStyle w:val="Heading9"/>
          </w:pPr>
          <w:r>
            <w:fldChar w:fldCharType="begin"/>
          </w:r>
          <w:r>
            <w:instrText xml:space="preserve"> DOCPROPERTY  Client  \* MERGEFORMAT </w:instrText>
          </w:r>
          <w:r>
            <w:fldChar w:fldCharType="separate"/>
          </w:r>
          <w:r w:rsidR="00BE2688">
            <w:t>CNAM et Université Paris Diderot</w:t>
          </w:r>
          <w:r>
            <w:fldChar w:fldCharType="end"/>
          </w:r>
          <w:r w:rsidR="003E7DA7" w:rsidRPr="00241E1F">
            <w:t xml:space="preserve"> - </w:t>
          </w:r>
          <w:r>
            <w:fldChar w:fldCharType="begin"/>
          </w:r>
          <w:r>
            <w:instrText xml:space="preserve"> DOCPROPERTY  Destination  \* MERGEFORMAT </w:instrText>
          </w:r>
          <w:r>
            <w:fldChar w:fldCharType="separate"/>
          </w:r>
          <w:r w:rsidR="00BE2688">
            <w:t>EPT204</w:t>
          </w:r>
          <w:r>
            <w:fldChar w:fldCharType="end"/>
          </w:r>
          <w:r w:rsidR="003E7DA7">
            <w:t xml:space="preserve"> – Stratégie de recherche d’information - Analyse sectorielle </w:t>
          </w:r>
          <w:r w:rsidR="00434B76">
            <w:t>– juin 2016</w:t>
          </w:r>
          <w:r w:rsidR="003E7DA7">
            <w:rPr>
              <w:noProof/>
            </w:rPr>
            <w:t xml:space="preserve">                                     Secteur 6202A - C</w:t>
          </w:r>
          <w:r w:rsidR="003E7DA7" w:rsidRPr="00857EF7">
            <w:rPr>
              <w:noProof/>
            </w:rPr>
            <w:t>onseil en systèmes et logiciels Informatiques</w:t>
          </w:r>
        </w:p>
      </w:tc>
      <w:tc>
        <w:tcPr>
          <w:tcW w:w="142" w:type="dxa"/>
          <w:vAlign w:val="center"/>
        </w:tcPr>
        <w:p w:rsidR="003E7DA7" w:rsidRPr="00B8400E" w:rsidRDefault="003E7DA7" w:rsidP="00857EF7"/>
      </w:tc>
    </w:tr>
  </w:tbl>
  <w:p w:rsidR="003E7DA7" w:rsidRDefault="003E7DA7" w:rsidP="008E474D">
    <w:pP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A7" w:rsidRDefault="003E7DA7">
    <w:pPr>
      <w:pStyle w:val="Header"/>
    </w:pPr>
    <w:r w:rsidRPr="00E05D21">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-118110</wp:posOffset>
          </wp:positionV>
          <wp:extent cx="1775460" cy="71628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of_Paris_Diderot_Universi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285" cy="717550"/>
                  </a:xfrm>
                  <a:prstGeom prst="rect">
                    <a:avLst/>
                  </a:prstGeom>
                </pic:spPr>
              </pic:pic>
            </a:graphicData>
          </a:graphic>
        </wp:anchor>
      </w:drawing>
    </w:r>
    <w:r>
      <w:rPr>
        <w:noProof/>
      </w:rPr>
      <w:drawing>
        <wp:anchor distT="0" distB="0" distL="114300" distR="114300" simplePos="0" relativeHeight="251656704" behindDoc="0" locked="0" layoutInCell="1" allowOverlap="1">
          <wp:simplePos x="0" y="0"/>
          <wp:positionH relativeFrom="column">
            <wp:posOffset>6899910</wp:posOffset>
          </wp:positionH>
          <wp:positionV relativeFrom="paragraph">
            <wp:posOffset>-165735</wp:posOffset>
          </wp:positionV>
          <wp:extent cx="2933700" cy="752475"/>
          <wp:effectExtent l="19050" t="0" r="0" b="0"/>
          <wp:wrapSquare wrapText="bothSides"/>
          <wp:docPr id="93" name="Picture 93"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A00"/>
    <w:multiLevelType w:val="hybridMultilevel"/>
    <w:tmpl w:val="9E8E27C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D4CDD"/>
    <w:multiLevelType w:val="hybridMultilevel"/>
    <w:tmpl w:val="9864A916"/>
    <w:lvl w:ilvl="0" w:tplc="B1B04E7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84C076F"/>
    <w:multiLevelType w:val="multilevel"/>
    <w:tmpl w:val="4250660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fr-FR"/>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8BD69AF"/>
    <w:multiLevelType w:val="hybridMultilevel"/>
    <w:tmpl w:val="FA58BCF8"/>
    <w:lvl w:ilvl="0" w:tplc="3726399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3805CBE"/>
    <w:multiLevelType w:val="hybridMultilevel"/>
    <w:tmpl w:val="67AA78C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6" w15:restartNumberingAfterBreak="0">
    <w:nsid w:val="139C002E"/>
    <w:multiLevelType w:val="hybridMultilevel"/>
    <w:tmpl w:val="49DCF312"/>
    <w:lvl w:ilvl="0" w:tplc="0BC8675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803C2"/>
    <w:multiLevelType w:val="hybridMultilevel"/>
    <w:tmpl w:val="9FF87FC6"/>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8" w15:restartNumberingAfterBreak="0">
    <w:nsid w:val="2D0D7E7D"/>
    <w:multiLevelType w:val="hybridMultilevel"/>
    <w:tmpl w:val="8BF82F58"/>
    <w:lvl w:ilvl="0" w:tplc="D7E063F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E1E789E"/>
    <w:multiLevelType w:val="hybridMultilevel"/>
    <w:tmpl w:val="4F4215AE"/>
    <w:lvl w:ilvl="0" w:tplc="082AB75C">
      <w:start w:val="1"/>
      <w:numFmt w:val="bullet"/>
      <w:lvlText w:val=""/>
      <w:lvlJc w:val="left"/>
      <w:pPr>
        <w:ind w:left="720" w:hanging="360"/>
      </w:pPr>
      <w:rPr>
        <w:rFonts w:ascii="Symbol" w:hAnsi="Symbol" w:hint="default"/>
      </w:rPr>
    </w:lvl>
    <w:lvl w:ilvl="1" w:tplc="D6F65396">
      <w:start w:val="1"/>
      <w:numFmt w:val="bullet"/>
      <w:lvlText w:val="o"/>
      <w:lvlJc w:val="left"/>
      <w:pPr>
        <w:ind w:left="1440" w:hanging="360"/>
      </w:pPr>
      <w:rPr>
        <w:rFonts w:ascii="Courier New" w:hAnsi="Courier New" w:hint="default"/>
      </w:rPr>
    </w:lvl>
    <w:lvl w:ilvl="2" w:tplc="17965620">
      <w:start w:val="1"/>
      <w:numFmt w:val="bullet"/>
      <w:lvlText w:val=""/>
      <w:lvlJc w:val="left"/>
      <w:pPr>
        <w:ind w:left="2160" w:hanging="360"/>
      </w:pPr>
      <w:rPr>
        <w:rFonts w:ascii="Wingdings" w:hAnsi="Wingdings" w:hint="default"/>
      </w:rPr>
    </w:lvl>
    <w:lvl w:ilvl="3" w:tplc="90EE89FE">
      <w:start w:val="1"/>
      <w:numFmt w:val="bullet"/>
      <w:lvlText w:val=""/>
      <w:lvlJc w:val="left"/>
      <w:pPr>
        <w:ind w:left="2880" w:hanging="360"/>
      </w:pPr>
      <w:rPr>
        <w:rFonts w:ascii="Symbol" w:hAnsi="Symbol" w:hint="default"/>
      </w:rPr>
    </w:lvl>
    <w:lvl w:ilvl="4" w:tplc="6032FCB2">
      <w:start w:val="1"/>
      <w:numFmt w:val="bullet"/>
      <w:lvlText w:val="o"/>
      <w:lvlJc w:val="left"/>
      <w:pPr>
        <w:ind w:left="3600" w:hanging="360"/>
      </w:pPr>
      <w:rPr>
        <w:rFonts w:ascii="Courier New" w:hAnsi="Courier New" w:hint="default"/>
      </w:rPr>
    </w:lvl>
    <w:lvl w:ilvl="5" w:tplc="D8D05DD4">
      <w:start w:val="1"/>
      <w:numFmt w:val="bullet"/>
      <w:lvlText w:val=""/>
      <w:lvlJc w:val="left"/>
      <w:pPr>
        <w:ind w:left="4320" w:hanging="360"/>
      </w:pPr>
      <w:rPr>
        <w:rFonts w:ascii="Wingdings" w:hAnsi="Wingdings" w:hint="default"/>
      </w:rPr>
    </w:lvl>
    <w:lvl w:ilvl="6" w:tplc="0F441418">
      <w:start w:val="1"/>
      <w:numFmt w:val="bullet"/>
      <w:lvlText w:val=""/>
      <w:lvlJc w:val="left"/>
      <w:pPr>
        <w:ind w:left="5040" w:hanging="360"/>
      </w:pPr>
      <w:rPr>
        <w:rFonts w:ascii="Symbol" w:hAnsi="Symbol" w:hint="default"/>
      </w:rPr>
    </w:lvl>
    <w:lvl w:ilvl="7" w:tplc="5BE604FC">
      <w:start w:val="1"/>
      <w:numFmt w:val="bullet"/>
      <w:lvlText w:val="o"/>
      <w:lvlJc w:val="left"/>
      <w:pPr>
        <w:ind w:left="5760" w:hanging="360"/>
      </w:pPr>
      <w:rPr>
        <w:rFonts w:ascii="Courier New" w:hAnsi="Courier New" w:hint="default"/>
      </w:rPr>
    </w:lvl>
    <w:lvl w:ilvl="8" w:tplc="A9246A6A">
      <w:start w:val="1"/>
      <w:numFmt w:val="bullet"/>
      <w:lvlText w:val=""/>
      <w:lvlJc w:val="left"/>
      <w:pPr>
        <w:ind w:left="6480" w:hanging="360"/>
      </w:pPr>
      <w:rPr>
        <w:rFonts w:ascii="Wingdings" w:hAnsi="Wingdings" w:hint="default"/>
      </w:rPr>
    </w:lvl>
  </w:abstractNum>
  <w:abstractNum w:abstractNumId="10" w15:restartNumberingAfterBreak="0">
    <w:nsid w:val="2E7D2E09"/>
    <w:multiLevelType w:val="hybridMultilevel"/>
    <w:tmpl w:val="B3928B4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1553562"/>
    <w:multiLevelType w:val="hybridMultilevel"/>
    <w:tmpl w:val="3930494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3ADB10A6"/>
    <w:multiLevelType w:val="hybridMultilevel"/>
    <w:tmpl w:val="A82898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4" w15:restartNumberingAfterBreak="0">
    <w:nsid w:val="3D1107F8"/>
    <w:multiLevelType w:val="hybridMultilevel"/>
    <w:tmpl w:val="E0AE063A"/>
    <w:lvl w:ilvl="0" w:tplc="0BC8675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E16A08"/>
    <w:multiLevelType w:val="hybridMultilevel"/>
    <w:tmpl w:val="F1F4B7EC"/>
    <w:lvl w:ilvl="0" w:tplc="0BC8675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344513"/>
    <w:multiLevelType w:val="hybridMultilevel"/>
    <w:tmpl w:val="7D0CD1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4A47D20"/>
    <w:multiLevelType w:val="hybridMultilevel"/>
    <w:tmpl w:val="2CC00B7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8"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19" w15:restartNumberingAfterBreak="0">
    <w:nsid w:val="4E747793"/>
    <w:multiLevelType w:val="hybridMultilevel"/>
    <w:tmpl w:val="83E8D0B8"/>
    <w:lvl w:ilvl="0" w:tplc="7D548688">
      <w:numFmt w:val="bullet"/>
      <w:lvlText w:val="-"/>
      <w:lvlJc w:val="left"/>
      <w:pPr>
        <w:ind w:left="502" w:hanging="360"/>
      </w:pPr>
      <w:rPr>
        <w:rFonts w:ascii="Arial" w:eastAsia="Times New Roman" w:hAnsi="Arial" w:cs="Aria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50657F87"/>
    <w:multiLevelType w:val="hybridMultilevel"/>
    <w:tmpl w:val="550AF314"/>
    <w:lvl w:ilvl="0" w:tplc="0BC8675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230CA8"/>
    <w:multiLevelType w:val="hybridMultilevel"/>
    <w:tmpl w:val="757EEE3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5E65050B"/>
    <w:multiLevelType w:val="hybridMultilevel"/>
    <w:tmpl w:val="472CDA4E"/>
    <w:lvl w:ilvl="0" w:tplc="18780662">
      <w:start w:val="620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3" w15:restartNumberingAfterBreak="0">
    <w:nsid w:val="5F075A93"/>
    <w:multiLevelType w:val="hybridMultilevel"/>
    <w:tmpl w:val="5F548968"/>
    <w:lvl w:ilvl="0" w:tplc="FBE2ACA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63D10DA0"/>
    <w:multiLevelType w:val="hybridMultilevel"/>
    <w:tmpl w:val="17D8FA52"/>
    <w:lvl w:ilvl="0" w:tplc="182811D2">
      <w:numFmt w:val="bullet"/>
      <w:lvlText w:val=""/>
      <w:lvlJc w:val="left"/>
      <w:pPr>
        <w:ind w:left="502" w:hanging="360"/>
      </w:pPr>
      <w:rPr>
        <w:rFonts w:ascii="Symbol" w:eastAsia="Times New Roman"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5970C5B"/>
    <w:multiLevelType w:val="hybridMultilevel"/>
    <w:tmpl w:val="804E8FB4"/>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6" w15:restartNumberingAfterBreak="0">
    <w:nsid w:val="669066C1"/>
    <w:multiLevelType w:val="hybridMultilevel"/>
    <w:tmpl w:val="786AE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F5074F"/>
    <w:multiLevelType w:val="hybridMultilevel"/>
    <w:tmpl w:val="3232FFAC"/>
    <w:lvl w:ilvl="0" w:tplc="040C000B">
      <w:start w:val="1"/>
      <w:numFmt w:val="bullet"/>
      <w:lvlText w:val=""/>
      <w:lvlJc w:val="left"/>
      <w:pPr>
        <w:ind w:left="933" w:hanging="360"/>
      </w:pPr>
      <w:rPr>
        <w:rFonts w:ascii="Wingdings" w:hAnsi="Wingdings"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8" w15:restartNumberingAfterBreak="0">
    <w:nsid w:val="6CF71C4D"/>
    <w:multiLevelType w:val="hybridMultilevel"/>
    <w:tmpl w:val="68785208"/>
    <w:lvl w:ilvl="0" w:tplc="64EC4F9C">
      <w:start w:val="1"/>
      <w:numFmt w:val="bullet"/>
      <w:lvlText w:val="-"/>
      <w:lvlJc w:val="left"/>
      <w:pPr>
        <w:ind w:left="573" w:hanging="360"/>
      </w:pPr>
      <w:rPr>
        <w:rFonts w:ascii="Arial" w:eastAsia="Times New Roman" w:hAnsi="Arial" w:cs="Arial"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29" w15:restartNumberingAfterBreak="0">
    <w:nsid w:val="75D12ED9"/>
    <w:multiLevelType w:val="hybridMultilevel"/>
    <w:tmpl w:val="635C508C"/>
    <w:lvl w:ilvl="0" w:tplc="25E66168">
      <w:start w:val="4"/>
      <w:numFmt w:val="bullet"/>
      <w:lvlText w:val=""/>
      <w:lvlJc w:val="left"/>
      <w:pPr>
        <w:ind w:left="547" w:hanging="405"/>
      </w:pPr>
      <w:rPr>
        <w:rFonts w:ascii="Wingdings" w:eastAsia="Times New Roman" w:hAnsi="Wingdings" w:cs="Arial"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79A8628E"/>
    <w:multiLevelType w:val="hybridMultilevel"/>
    <w:tmpl w:val="C88AE83E"/>
    <w:lvl w:ilvl="0" w:tplc="4BF217F0">
      <w:start w:val="8"/>
      <w:numFmt w:val="bullet"/>
      <w:lvlText w:val=""/>
      <w:lvlJc w:val="left"/>
      <w:pPr>
        <w:ind w:left="502" w:hanging="360"/>
      </w:pPr>
      <w:rPr>
        <w:rFonts w:ascii="Wingdings" w:eastAsia="Times New Roman" w:hAnsi="Wingdings" w:cs="Arial"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A030A39"/>
    <w:multiLevelType w:val="hybridMultilevel"/>
    <w:tmpl w:val="AC5260F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2" w15:restartNumberingAfterBreak="0">
    <w:nsid w:val="7DF74364"/>
    <w:multiLevelType w:val="hybridMultilevel"/>
    <w:tmpl w:val="2FC892D6"/>
    <w:lvl w:ilvl="0" w:tplc="A90A85E6">
      <w:start w:val="1"/>
      <w:numFmt w:val="bullet"/>
      <w:lvlText w:val=""/>
      <w:lvlJc w:val="left"/>
      <w:pPr>
        <w:ind w:left="720" w:hanging="360"/>
      </w:pPr>
      <w:rPr>
        <w:rFonts w:ascii="Symbol" w:hAnsi="Symbol" w:hint="default"/>
      </w:rPr>
    </w:lvl>
    <w:lvl w:ilvl="1" w:tplc="2E18CD26">
      <w:start w:val="1"/>
      <w:numFmt w:val="bullet"/>
      <w:lvlText w:val="o"/>
      <w:lvlJc w:val="left"/>
      <w:pPr>
        <w:ind w:left="1440" w:hanging="360"/>
      </w:pPr>
      <w:rPr>
        <w:rFonts w:ascii="Courier New" w:hAnsi="Courier New" w:hint="default"/>
      </w:rPr>
    </w:lvl>
    <w:lvl w:ilvl="2" w:tplc="E68E55D8">
      <w:start w:val="1"/>
      <w:numFmt w:val="bullet"/>
      <w:lvlText w:val=""/>
      <w:lvlJc w:val="left"/>
      <w:pPr>
        <w:ind w:left="2160" w:hanging="360"/>
      </w:pPr>
      <w:rPr>
        <w:rFonts w:ascii="Wingdings" w:hAnsi="Wingdings" w:hint="default"/>
      </w:rPr>
    </w:lvl>
    <w:lvl w:ilvl="3" w:tplc="C966CD60">
      <w:start w:val="1"/>
      <w:numFmt w:val="bullet"/>
      <w:lvlText w:val=""/>
      <w:lvlJc w:val="left"/>
      <w:pPr>
        <w:ind w:left="2880" w:hanging="360"/>
      </w:pPr>
      <w:rPr>
        <w:rFonts w:ascii="Symbol" w:hAnsi="Symbol" w:hint="default"/>
      </w:rPr>
    </w:lvl>
    <w:lvl w:ilvl="4" w:tplc="87CE7130">
      <w:start w:val="1"/>
      <w:numFmt w:val="bullet"/>
      <w:lvlText w:val="o"/>
      <w:lvlJc w:val="left"/>
      <w:pPr>
        <w:ind w:left="3600" w:hanging="360"/>
      </w:pPr>
      <w:rPr>
        <w:rFonts w:ascii="Courier New" w:hAnsi="Courier New" w:hint="default"/>
      </w:rPr>
    </w:lvl>
    <w:lvl w:ilvl="5" w:tplc="A08CA8EA">
      <w:start w:val="1"/>
      <w:numFmt w:val="bullet"/>
      <w:lvlText w:val=""/>
      <w:lvlJc w:val="left"/>
      <w:pPr>
        <w:ind w:left="4320" w:hanging="360"/>
      </w:pPr>
      <w:rPr>
        <w:rFonts w:ascii="Wingdings" w:hAnsi="Wingdings" w:hint="default"/>
      </w:rPr>
    </w:lvl>
    <w:lvl w:ilvl="6" w:tplc="A3B26C98">
      <w:start w:val="1"/>
      <w:numFmt w:val="bullet"/>
      <w:lvlText w:val=""/>
      <w:lvlJc w:val="left"/>
      <w:pPr>
        <w:ind w:left="5040" w:hanging="360"/>
      </w:pPr>
      <w:rPr>
        <w:rFonts w:ascii="Symbol" w:hAnsi="Symbol" w:hint="default"/>
      </w:rPr>
    </w:lvl>
    <w:lvl w:ilvl="7" w:tplc="9168C5E6">
      <w:start w:val="1"/>
      <w:numFmt w:val="bullet"/>
      <w:lvlText w:val="o"/>
      <w:lvlJc w:val="left"/>
      <w:pPr>
        <w:ind w:left="5760" w:hanging="360"/>
      </w:pPr>
      <w:rPr>
        <w:rFonts w:ascii="Courier New" w:hAnsi="Courier New" w:hint="default"/>
      </w:rPr>
    </w:lvl>
    <w:lvl w:ilvl="8" w:tplc="7ABCDCA2">
      <w:start w:val="1"/>
      <w:numFmt w:val="bullet"/>
      <w:lvlText w:val=""/>
      <w:lvlJc w:val="left"/>
      <w:pPr>
        <w:ind w:left="6480" w:hanging="360"/>
      </w:pPr>
      <w:rPr>
        <w:rFonts w:ascii="Wingdings" w:hAnsi="Wingdings" w:hint="default"/>
      </w:rPr>
    </w:lvl>
  </w:abstractNum>
  <w:abstractNum w:abstractNumId="33" w15:restartNumberingAfterBreak="0">
    <w:nsid w:val="7ECD58D7"/>
    <w:multiLevelType w:val="hybridMultilevel"/>
    <w:tmpl w:val="CD90A058"/>
    <w:lvl w:ilvl="0" w:tplc="F74471BC">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12"/>
  </w:num>
  <w:num w:numId="4">
    <w:abstractNumId w:val="18"/>
  </w:num>
  <w:num w:numId="5">
    <w:abstractNumId w:val="25"/>
  </w:num>
  <w:num w:numId="6">
    <w:abstractNumId w:val="27"/>
  </w:num>
  <w:num w:numId="7">
    <w:abstractNumId w:val="13"/>
  </w:num>
  <w:num w:numId="8">
    <w:abstractNumId w:val="5"/>
  </w:num>
  <w:num w:numId="9">
    <w:abstractNumId w:val="17"/>
  </w:num>
  <w:num w:numId="10">
    <w:abstractNumId w:val="31"/>
  </w:num>
  <w:num w:numId="11">
    <w:abstractNumId w:val="0"/>
  </w:num>
  <w:num w:numId="12">
    <w:abstractNumId w:val="7"/>
  </w:num>
  <w:num w:numId="13">
    <w:abstractNumId w:val="28"/>
  </w:num>
  <w:num w:numId="14">
    <w:abstractNumId w:val="26"/>
  </w:num>
  <w:num w:numId="15">
    <w:abstractNumId w:val="3"/>
  </w:num>
  <w:num w:numId="16">
    <w:abstractNumId w:val="3"/>
  </w:num>
  <w:num w:numId="17">
    <w:abstractNumId w:val="8"/>
  </w:num>
  <w:num w:numId="18">
    <w:abstractNumId w:val="9"/>
  </w:num>
  <w:num w:numId="19">
    <w:abstractNumId w:val="32"/>
  </w:num>
  <w:num w:numId="20">
    <w:abstractNumId w:val="22"/>
  </w:num>
  <w:num w:numId="21">
    <w:abstractNumId w:val="23"/>
  </w:num>
  <w:num w:numId="22">
    <w:abstractNumId w:val="4"/>
  </w:num>
  <w:num w:numId="23">
    <w:abstractNumId w:val="33"/>
  </w:num>
  <w:num w:numId="24">
    <w:abstractNumId w:val="3"/>
  </w:num>
  <w:num w:numId="25">
    <w:abstractNumId w:val="3"/>
  </w:num>
  <w:num w:numId="26">
    <w:abstractNumId w:val="19"/>
  </w:num>
  <w:num w:numId="27">
    <w:abstractNumId w:val="24"/>
  </w:num>
  <w:num w:numId="28">
    <w:abstractNumId w:val="3"/>
  </w:num>
  <w:num w:numId="29">
    <w:abstractNumId w:val="3"/>
  </w:num>
  <w:num w:numId="30">
    <w:abstractNumId w:val="3"/>
  </w:num>
  <w:num w:numId="31">
    <w:abstractNumId w:val="3"/>
  </w:num>
  <w:num w:numId="32">
    <w:abstractNumId w:val="3"/>
  </w:num>
  <w:num w:numId="33">
    <w:abstractNumId w:val="2"/>
  </w:num>
  <w:num w:numId="34">
    <w:abstractNumId w:val="3"/>
  </w:num>
  <w:num w:numId="35">
    <w:abstractNumId w:val="11"/>
  </w:num>
  <w:num w:numId="36">
    <w:abstractNumId w:val="16"/>
  </w:num>
  <w:num w:numId="37">
    <w:abstractNumId w:val="21"/>
  </w:num>
  <w:num w:numId="38">
    <w:abstractNumId w:val="20"/>
  </w:num>
  <w:num w:numId="39">
    <w:abstractNumId w:val="14"/>
  </w:num>
  <w:num w:numId="40">
    <w:abstractNumId w:val="15"/>
  </w:num>
  <w:num w:numId="41">
    <w:abstractNumId w:val="6"/>
  </w:num>
  <w:num w:numId="42">
    <w:abstractNumId w:val="10"/>
  </w:num>
  <w:num w:numId="43">
    <w:abstractNumId w:val="29"/>
  </w:num>
  <w:num w:numId="4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33FE"/>
    <w:rsid w:val="00004A22"/>
    <w:rsid w:val="00005B1D"/>
    <w:rsid w:val="00005D16"/>
    <w:rsid w:val="000065E0"/>
    <w:rsid w:val="00006B9C"/>
    <w:rsid w:val="00006C11"/>
    <w:rsid w:val="0001201D"/>
    <w:rsid w:val="000123F4"/>
    <w:rsid w:val="00012E75"/>
    <w:rsid w:val="000136C2"/>
    <w:rsid w:val="000137A4"/>
    <w:rsid w:val="0001738E"/>
    <w:rsid w:val="00017D4C"/>
    <w:rsid w:val="00022E35"/>
    <w:rsid w:val="0002342B"/>
    <w:rsid w:val="00023B5D"/>
    <w:rsid w:val="00024793"/>
    <w:rsid w:val="000247C1"/>
    <w:rsid w:val="0002600E"/>
    <w:rsid w:val="00031A5F"/>
    <w:rsid w:val="000324E5"/>
    <w:rsid w:val="00036B30"/>
    <w:rsid w:val="00037579"/>
    <w:rsid w:val="00040AF4"/>
    <w:rsid w:val="00041825"/>
    <w:rsid w:val="00042653"/>
    <w:rsid w:val="00043089"/>
    <w:rsid w:val="0004473C"/>
    <w:rsid w:val="00044BCC"/>
    <w:rsid w:val="000459C8"/>
    <w:rsid w:val="00045CC4"/>
    <w:rsid w:val="00051C12"/>
    <w:rsid w:val="0005274C"/>
    <w:rsid w:val="00052F77"/>
    <w:rsid w:val="00053F7C"/>
    <w:rsid w:val="00054DCB"/>
    <w:rsid w:val="0005560A"/>
    <w:rsid w:val="000610B6"/>
    <w:rsid w:val="00063FDA"/>
    <w:rsid w:val="00064CA3"/>
    <w:rsid w:val="000653B2"/>
    <w:rsid w:val="00066D92"/>
    <w:rsid w:val="0006733C"/>
    <w:rsid w:val="00070210"/>
    <w:rsid w:val="00071146"/>
    <w:rsid w:val="00071A90"/>
    <w:rsid w:val="00074CEC"/>
    <w:rsid w:val="00075411"/>
    <w:rsid w:val="00075C46"/>
    <w:rsid w:val="00075F47"/>
    <w:rsid w:val="00076373"/>
    <w:rsid w:val="00076ADA"/>
    <w:rsid w:val="00076C22"/>
    <w:rsid w:val="00077FD2"/>
    <w:rsid w:val="0008181C"/>
    <w:rsid w:val="000848B7"/>
    <w:rsid w:val="00090890"/>
    <w:rsid w:val="000917A7"/>
    <w:rsid w:val="00095C98"/>
    <w:rsid w:val="00096829"/>
    <w:rsid w:val="000A3C40"/>
    <w:rsid w:val="000A5669"/>
    <w:rsid w:val="000A6693"/>
    <w:rsid w:val="000B02CB"/>
    <w:rsid w:val="000B36B1"/>
    <w:rsid w:val="000B37C5"/>
    <w:rsid w:val="000B3C18"/>
    <w:rsid w:val="000B4793"/>
    <w:rsid w:val="000B5BC0"/>
    <w:rsid w:val="000B6BE7"/>
    <w:rsid w:val="000B767B"/>
    <w:rsid w:val="000C2B17"/>
    <w:rsid w:val="000C2CD0"/>
    <w:rsid w:val="000C30BC"/>
    <w:rsid w:val="000C5761"/>
    <w:rsid w:val="000C5DD0"/>
    <w:rsid w:val="000C6BE6"/>
    <w:rsid w:val="000D1E3A"/>
    <w:rsid w:val="000D395C"/>
    <w:rsid w:val="000D3DE1"/>
    <w:rsid w:val="000D7207"/>
    <w:rsid w:val="000D7BB1"/>
    <w:rsid w:val="000E024F"/>
    <w:rsid w:val="000E049C"/>
    <w:rsid w:val="000E1054"/>
    <w:rsid w:val="000E23C1"/>
    <w:rsid w:val="000E275F"/>
    <w:rsid w:val="000E29AF"/>
    <w:rsid w:val="000E2E27"/>
    <w:rsid w:val="000E542B"/>
    <w:rsid w:val="000E6B1E"/>
    <w:rsid w:val="000E7844"/>
    <w:rsid w:val="000E7D8A"/>
    <w:rsid w:val="000F5FBB"/>
    <w:rsid w:val="00101818"/>
    <w:rsid w:val="00101F63"/>
    <w:rsid w:val="00103731"/>
    <w:rsid w:val="00103DF4"/>
    <w:rsid w:val="001064EE"/>
    <w:rsid w:val="00106636"/>
    <w:rsid w:val="00116E6C"/>
    <w:rsid w:val="0011755B"/>
    <w:rsid w:val="00120BFE"/>
    <w:rsid w:val="00120E3B"/>
    <w:rsid w:val="001221B4"/>
    <w:rsid w:val="00122861"/>
    <w:rsid w:val="00124B4C"/>
    <w:rsid w:val="00125B26"/>
    <w:rsid w:val="0012697C"/>
    <w:rsid w:val="00130D05"/>
    <w:rsid w:val="00132882"/>
    <w:rsid w:val="001329E0"/>
    <w:rsid w:val="00133020"/>
    <w:rsid w:val="001331F4"/>
    <w:rsid w:val="00135466"/>
    <w:rsid w:val="00136830"/>
    <w:rsid w:val="00140757"/>
    <w:rsid w:val="00140DC2"/>
    <w:rsid w:val="00140E6A"/>
    <w:rsid w:val="00141DC1"/>
    <w:rsid w:val="0014245C"/>
    <w:rsid w:val="001426D4"/>
    <w:rsid w:val="00142E96"/>
    <w:rsid w:val="00144A62"/>
    <w:rsid w:val="00145C6B"/>
    <w:rsid w:val="0015128F"/>
    <w:rsid w:val="00151B5F"/>
    <w:rsid w:val="00153F17"/>
    <w:rsid w:val="00154899"/>
    <w:rsid w:val="00154B2F"/>
    <w:rsid w:val="00155A75"/>
    <w:rsid w:val="00155C82"/>
    <w:rsid w:val="0016087F"/>
    <w:rsid w:val="00164932"/>
    <w:rsid w:val="0016567A"/>
    <w:rsid w:val="00170AB7"/>
    <w:rsid w:val="00171065"/>
    <w:rsid w:val="00171221"/>
    <w:rsid w:val="00171469"/>
    <w:rsid w:val="00171F96"/>
    <w:rsid w:val="0017280C"/>
    <w:rsid w:val="0017304A"/>
    <w:rsid w:val="00174175"/>
    <w:rsid w:val="0017531F"/>
    <w:rsid w:val="001762CA"/>
    <w:rsid w:val="00180438"/>
    <w:rsid w:val="00180769"/>
    <w:rsid w:val="001818D8"/>
    <w:rsid w:val="00182629"/>
    <w:rsid w:val="00183FC9"/>
    <w:rsid w:val="00184C77"/>
    <w:rsid w:val="00185B47"/>
    <w:rsid w:val="00187018"/>
    <w:rsid w:val="0018723F"/>
    <w:rsid w:val="00187671"/>
    <w:rsid w:val="00187FE6"/>
    <w:rsid w:val="00190599"/>
    <w:rsid w:val="00190778"/>
    <w:rsid w:val="00190A3C"/>
    <w:rsid w:val="00192678"/>
    <w:rsid w:val="00194B82"/>
    <w:rsid w:val="001961B5"/>
    <w:rsid w:val="001967D1"/>
    <w:rsid w:val="001A0ED8"/>
    <w:rsid w:val="001A13CC"/>
    <w:rsid w:val="001A16CE"/>
    <w:rsid w:val="001A20B9"/>
    <w:rsid w:val="001A57ED"/>
    <w:rsid w:val="001A6B52"/>
    <w:rsid w:val="001A7F5A"/>
    <w:rsid w:val="001B1178"/>
    <w:rsid w:val="001B245F"/>
    <w:rsid w:val="001B2AD3"/>
    <w:rsid w:val="001B5554"/>
    <w:rsid w:val="001B7AB9"/>
    <w:rsid w:val="001B7C09"/>
    <w:rsid w:val="001C1802"/>
    <w:rsid w:val="001C1EC3"/>
    <w:rsid w:val="001C2798"/>
    <w:rsid w:val="001C44C6"/>
    <w:rsid w:val="001C5FC3"/>
    <w:rsid w:val="001C65BE"/>
    <w:rsid w:val="001C78D7"/>
    <w:rsid w:val="001D01E7"/>
    <w:rsid w:val="001D1DA1"/>
    <w:rsid w:val="001D26FD"/>
    <w:rsid w:val="001D292B"/>
    <w:rsid w:val="001D45A0"/>
    <w:rsid w:val="001E01B2"/>
    <w:rsid w:val="001E0302"/>
    <w:rsid w:val="001E20BF"/>
    <w:rsid w:val="001E3A76"/>
    <w:rsid w:val="001E40B3"/>
    <w:rsid w:val="001E417F"/>
    <w:rsid w:val="001E6B89"/>
    <w:rsid w:val="001F3961"/>
    <w:rsid w:val="001F4562"/>
    <w:rsid w:val="001F4F8D"/>
    <w:rsid w:val="001F6645"/>
    <w:rsid w:val="001F6A4F"/>
    <w:rsid w:val="001F738D"/>
    <w:rsid w:val="001F7756"/>
    <w:rsid w:val="001F77E9"/>
    <w:rsid w:val="0020024E"/>
    <w:rsid w:val="002048FA"/>
    <w:rsid w:val="00205619"/>
    <w:rsid w:val="00205759"/>
    <w:rsid w:val="00207E5C"/>
    <w:rsid w:val="00210A46"/>
    <w:rsid w:val="00215F73"/>
    <w:rsid w:val="00216A69"/>
    <w:rsid w:val="00220225"/>
    <w:rsid w:val="00222FC8"/>
    <w:rsid w:val="00224BB5"/>
    <w:rsid w:val="00226D25"/>
    <w:rsid w:val="0023267B"/>
    <w:rsid w:val="002333FE"/>
    <w:rsid w:val="00234915"/>
    <w:rsid w:val="00236259"/>
    <w:rsid w:val="00237F19"/>
    <w:rsid w:val="00241E1F"/>
    <w:rsid w:val="00246865"/>
    <w:rsid w:val="00246F52"/>
    <w:rsid w:val="00247D1C"/>
    <w:rsid w:val="00250A6F"/>
    <w:rsid w:val="00251576"/>
    <w:rsid w:val="00251678"/>
    <w:rsid w:val="00251DED"/>
    <w:rsid w:val="00252B8D"/>
    <w:rsid w:val="00253E71"/>
    <w:rsid w:val="002542C0"/>
    <w:rsid w:val="00254514"/>
    <w:rsid w:val="00254921"/>
    <w:rsid w:val="00257B77"/>
    <w:rsid w:val="0026533B"/>
    <w:rsid w:val="00266F27"/>
    <w:rsid w:val="00270303"/>
    <w:rsid w:val="00270A1A"/>
    <w:rsid w:val="00272126"/>
    <w:rsid w:val="00272B30"/>
    <w:rsid w:val="002738D5"/>
    <w:rsid w:val="00273DAB"/>
    <w:rsid w:val="0027407E"/>
    <w:rsid w:val="00274E33"/>
    <w:rsid w:val="002755A6"/>
    <w:rsid w:val="00276869"/>
    <w:rsid w:val="00281DD5"/>
    <w:rsid w:val="0028203A"/>
    <w:rsid w:val="002828B7"/>
    <w:rsid w:val="0028482B"/>
    <w:rsid w:val="00287705"/>
    <w:rsid w:val="00287BC9"/>
    <w:rsid w:val="00292C87"/>
    <w:rsid w:val="0029334A"/>
    <w:rsid w:val="00295447"/>
    <w:rsid w:val="00295E40"/>
    <w:rsid w:val="002A2F5D"/>
    <w:rsid w:val="002A3D33"/>
    <w:rsid w:val="002A3EC7"/>
    <w:rsid w:val="002A6DF8"/>
    <w:rsid w:val="002A7AB7"/>
    <w:rsid w:val="002A7BCA"/>
    <w:rsid w:val="002B07ED"/>
    <w:rsid w:val="002B1915"/>
    <w:rsid w:val="002B1F23"/>
    <w:rsid w:val="002B4237"/>
    <w:rsid w:val="002B5AF2"/>
    <w:rsid w:val="002B660B"/>
    <w:rsid w:val="002B6A00"/>
    <w:rsid w:val="002B6AE5"/>
    <w:rsid w:val="002B7103"/>
    <w:rsid w:val="002B7675"/>
    <w:rsid w:val="002C0483"/>
    <w:rsid w:val="002C0982"/>
    <w:rsid w:val="002C73B9"/>
    <w:rsid w:val="002D0290"/>
    <w:rsid w:val="002D2BBC"/>
    <w:rsid w:val="002D4BEB"/>
    <w:rsid w:val="002D5179"/>
    <w:rsid w:val="002D7F39"/>
    <w:rsid w:val="002E2FF1"/>
    <w:rsid w:val="002E3E6C"/>
    <w:rsid w:val="002E4582"/>
    <w:rsid w:val="002E6456"/>
    <w:rsid w:val="002E78E4"/>
    <w:rsid w:val="002E7DFD"/>
    <w:rsid w:val="002F0FB4"/>
    <w:rsid w:val="002F2351"/>
    <w:rsid w:val="002F4D1B"/>
    <w:rsid w:val="003013DA"/>
    <w:rsid w:val="00304DDD"/>
    <w:rsid w:val="003063A1"/>
    <w:rsid w:val="00306898"/>
    <w:rsid w:val="00306FB9"/>
    <w:rsid w:val="00307FE4"/>
    <w:rsid w:val="003116D1"/>
    <w:rsid w:val="003142AC"/>
    <w:rsid w:val="00314D04"/>
    <w:rsid w:val="0032018A"/>
    <w:rsid w:val="00321148"/>
    <w:rsid w:val="00323EEE"/>
    <w:rsid w:val="00323F45"/>
    <w:rsid w:val="00324624"/>
    <w:rsid w:val="00324F9A"/>
    <w:rsid w:val="0032754A"/>
    <w:rsid w:val="00331A06"/>
    <w:rsid w:val="003329BC"/>
    <w:rsid w:val="00333A04"/>
    <w:rsid w:val="003342F3"/>
    <w:rsid w:val="00335A7B"/>
    <w:rsid w:val="003372EF"/>
    <w:rsid w:val="003403A6"/>
    <w:rsid w:val="00340FF8"/>
    <w:rsid w:val="00342DD0"/>
    <w:rsid w:val="0034465B"/>
    <w:rsid w:val="00344A8F"/>
    <w:rsid w:val="00345166"/>
    <w:rsid w:val="00347814"/>
    <w:rsid w:val="00347A3B"/>
    <w:rsid w:val="00350463"/>
    <w:rsid w:val="003505CF"/>
    <w:rsid w:val="003525F0"/>
    <w:rsid w:val="003534F7"/>
    <w:rsid w:val="003556DB"/>
    <w:rsid w:val="00355F2A"/>
    <w:rsid w:val="003575EF"/>
    <w:rsid w:val="00361CE5"/>
    <w:rsid w:val="00362396"/>
    <w:rsid w:val="003627E9"/>
    <w:rsid w:val="00364A5D"/>
    <w:rsid w:val="00364D6A"/>
    <w:rsid w:val="00365B22"/>
    <w:rsid w:val="003673E1"/>
    <w:rsid w:val="00370B53"/>
    <w:rsid w:val="00372E8A"/>
    <w:rsid w:val="00372EBF"/>
    <w:rsid w:val="0037370C"/>
    <w:rsid w:val="00374692"/>
    <w:rsid w:val="00375098"/>
    <w:rsid w:val="003755FC"/>
    <w:rsid w:val="00375EAF"/>
    <w:rsid w:val="003802A8"/>
    <w:rsid w:val="00382B8F"/>
    <w:rsid w:val="00383C6A"/>
    <w:rsid w:val="0038471C"/>
    <w:rsid w:val="003866D5"/>
    <w:rsid w:val="0038797D"/>
    <w:rsid w:val="00390701"/>
    <w:rsid w:val="00391561"/>
    <w:rsid w:val="00391770"/>
    <w:rsid w:val="003937B7"/>
    <w:rsid w:val="003949AC"/>
    <w:rsid w:val="003976E9"/>
    <w:rsid w:val="003A0EA4"/>
    <w:rsid w:val="003A23DB"/>
    <w:rsid w:val="003A6D72"/>
    <w:rsid w:val="003A7610"/>
    <w:rsid w:val="003B035D"/>
    <w:rsid w:val="003B16F4"/>
    <w:rsid w:val="003B37F6"/>
    <w:rsid w:val="003B704F"/>
    <w:rsid w:val="003B7309"/>
    <w:rsid w:val="003C09D0"/>
    <w:rsid w:val="003C1220"/>
    <w:rsid w:val="003C1409"/>
    <w:rsid w:val="003C22FD"/>
    <w:rsid w:val="003C2572"/>
    <w:rsid w:val="003C4564"/>
    <w:rsid w:val="003D1C50"/>
    <w:rsid w:val="003D208F"/>
    <w:rsid w:val="003D3ADE"/>
    <w:rsid w:val="003D408C"/>
    <w:rsid w:val="003D4C38"/>
    <w:rsid w:val="003D79F9"/>
    <w:rsid w:val="003E09C8"/>
    <w:rsid w:val="003E0B49"/>
    <w:rsid w:val="003E1045"/>
    <w:rsid w:val="003E14C8"/>
    <w:rsid w:val="003E1DC8"/>
    <w:rsid w:val="003E2E88"/>
    <w:rsid w:val="003E4656"/>
    <w:rsid w:val="003E6313"/>
    <w:rsid w:val="003E7C38"/>
    <w:rsid w:val="003E7DA7"/>
    <w:rsid w:val="003F0A5F"/>
    <w:rsid w:val="003F14F4"/>
    <w:rsid w:val="0040100B"/>
    <w:rsid w:val="0040155D"/>
    <w:rsid w:val="0040161E"/>
    <w:rsid w:val="004038F4"/>
    <w:rsid w:val="004041FB"/>
    <w:rsid w:val="00404DB7"/>
    <w:rsid w:val="00405965"/>
    <w:rsid w:val="00405C8A"/>
    <w:rsid w:val="00406156"/>
    <w:rsid w:val="00410F91"/>
    <w:rsid w:val="0041103B"/>
    <w:rsid w:val="004117CD"/>
    <w:rsid w:val="00412F54"/>
    <w:rsid w:val="00420ABB"/>
    <w:rsid w:val="00422E14"/>
    <w:rsid w:val="00422E3E"/>
    <w:rsid w:val="00424387"/>
    <w:rsid w:val="0042720F"/>
    <w:rsid w:val="00427E36"/>
    <w:rsid w:val="004305D5"/>
    <w:rsid w:val="004319E7"/>
    <w:rsid w:val="00431EF5"/>
    <w:rsid w:val="00433810"/>
    <w:rsid w:val="004349FF"/>
    <w:rsid w:val="00434B76"/>
    <w:rsid w:val="00435625"/>
    <w:rsid w:val="004359B7"/>
    <w:rsid w:val="00436FA2"/>
    <w:rsid w:val="00437B8A"/>
    <w:rsid w:val="00440B81"/>
    <w:rsid w:val="00441FCE"/>
    <w:rsid w:val="00442F8D"/>
    <w:rsid w:val="00443015"/>
    <w:rsid w:val="00444056"/>
    <w:rsid w:val="004443D6"/>
    <w:rsid w:val="004458F2"/>
    <w:rsid w:val="00447ACA"/>
    <w:rsid w:val="004503D5"/>
    <w:rsid w:val="00450899"/>
    <w:rsid w:val="00451A77"/>
    <w:rsid w:val="004535CD"/>
    <w:rsid w:val="004549BB"/>
    <w:rsid w:val="00455AFF"/>
    <w:rsid w:val="004604F4"/>
    <w:rsid w:val="00460971"/>
    <w:rsid w:val="00461317"/>
    <w:rsid w:val="00462C8E"/>
    <w:rsid w:val="00464978"/>
    <w:rsid w:val="00464CB0"/>
    <w:rsid w:val="004668E2"/>
    <w:rsid w:val="00470611"/>
    <w:rsid w:val="00471105"/>
    <w:rsid w:val="00471714"/>
    <w:rsid w:val="00472C61"/>
    <w:rsid w:val="00473DE2"/>
    <w:rsid w:val="0047431B"/>
    <w:rsid w:val="00475367"/>
    <w:rsid w:val="0047647E"/>
    <w:rsid w:val="00476602"/>
    <w:rsid w:val="004779C2"/>
    <w:rsid w:val="00480047"/>
    <w:rsid w:val="004801D1"/>
    <w:rsid w:val="00481344"/>
    <w:rsid w:val="00484A29"/>
    <w:rsid w:val="0048527C"/>
    <w:rsid w:val="0048621F"/>
    <w:rsid w:val="00490082"/>
    <w:rsid w:val="00492605"/>
    <w:rsid w:val="00494B0C"/>
    <w:rsid w:val="00497AE8"/>
    <w:rsid w:val="004A102B"/>
    <w:rsid w:val="004A1394"/>
    <w:rsid w:val="004A2520"/>
    <w:rsid w:val="004A307F"/>
    <w:rsid w:val="004A4072"/>
    <w:rsid w:val="004A623B"/>
    <w:rsid w:val="004A6255"/>
    <w:rsid w:val="004A70D4"/>
    <w:rsid w:val="004B2CF2"/>
    <w:rsid w:val="004B47A8"/>
    <w:rsid w:val="004B4DDD"/>
    <w:rsid w:val="004B6A04"/>
    <w:rsid w:val="004B75F3"/>
    <w:rsid w:val="004B7B4E"/>
    <w:rsid w:val="004C05B0"/>
    <w:rsid w:val="004C28DB"/>
    <w:rsid w:val="004C3C2E"/>
    <w:rsid w:val="004C4200"/>
    <w:rsid w:val="004C4FFC"/>
    <w:rsid w:val="004D14FF"/>
    <w:rsid w:val="004D1AB0"/>
    <w:rsid w:val="004D32B1"/>
    <w:rsid w:val="004D39F4"/>
    <w:rsid w:val="004D5BCB"/>
    <w:rsid w:val="004D6418"/>
    <w:rsid w:val="004E33C2"/>
    <w:rsid w:val="004E3855"/>
    <w:rsid w:val="004E63C4"/>
    <w:rsid w:val="004E735B"/>
    <w:rsid w:val="004E7450"/>
    <w:rsid w:val="004F05D0"/>
    <w:rsid w:val="004F179B"/>
    <w:rsid w:val="004F3BE6"/>
    <w:rsid w:val="004F457B"/>
    <w:rsid w:val="004F4BB0"/>
    <w:rsid w:val="004F54B9"/>
    <w:rsid w:val="004F58C5"/>
    <w:rsid w:val="004F59A0"/>
    <w:rsid w:val="00500D6B"/>
    <w:rsid w:val="005013DC"/>
    <w:rsid w:val="00501BB7"/>
    <w:rsid w:val="00502B76"/>
    <w:rsid w:val="00504F0C"/>
    <w:rsid w:val="00505A44"/>
    <w:rsid w:val="00506CA6"/>
    <w:rsid w:val="00507B51"/>
    <w:rsid w:val="005102E2"/>
    <w:rsid w:val="0051064D"/>
    <w:rsid w:val="00510D9F"/>
    <w:rsid w:val="0051241C"/>
    <w:rsid w:val="0051389E"/>
    <w:rsid w:val="00515F7B"/>
    <w:rsid w:val="00517390"/>
    <w:rsid w:val="00517F6F"/>
    <w:rsid w:val="00523924"/>
    <w:rsid w:val="00525A8F"/>
    <w:rsid w:val="00526C3C"/>
    <w:rsid w:val="00527065"/>
    <w:rsid w:val="00527DA1"/>
    <w:rsid w:val="0053087D"/>
    <w:rsid w:val="00531102"/>
    <w:rsid w:val="00534012"/>
    <w:rsid w:val="005342C3"/>
    <w:rsid w:val="005358AC"/>
    <w:rsid w:val="0053643B"/>
    <w:rsid w:val="00536DAD"/>
    <w:rsid w:val="005372E0"/>
    <w:rsid w:val="0054128A"/>
    <w:rsid w:val="00542927"/>
    <w:rsid w:val="005433DB"/>
    <w:rsid w:val="00543837"/>
    <w:rsid w:val="005445C8"/>
    <w:rsid w:val="0054611A"/>
    <w:rsid w:val="00547131"/>
    <w:rsid w:val="00551774"/>
    <w:rsid w:val="0055373E"/>
    <w:rsid w:val="00553BAB"/>
    <w:rsid w:val="005543AB"/>
    <w:rsid w:val="005549E1"/>
    <w:rsid w:val="00555349"/>
    <w:rsid w:val="005561E1"/>
    <w:rsid w:val="00556BDE"/>
    <w:rsid w:val="005635C3"/>
    <w:rsid w:val="00564525"/>
    <w:rsid w:val="00564EE7"/>
    <w:rsid w:val="00565FE9"/>
    <w:rsid w:val="00566D5D"/>
    <w:rsid w:val="00567BB5"/>
    <w:rsid w:val="00567D39"/>
    <w:rsid w:val="00571853"/>
    <w:rsid w:val="0057324D"/>
    <w:rsid w:val="00573FC9"/>
    <w:rsid w:val="0057441F"/>
    <w:rsid w:val="00577300"/>
    <w:rsid w:val="00581DA3"/>
    <w:rsid w:val="0058297B"/>
    <w:rsid w:val="00582B4E"/>
    <w:rsid w:val="00583369"/>
    <w:rsid w:val="005847D0"/>
    <w:rsid w:val="00585AAF"/>
    <w:rsid w:val="00586E7B"/>
    <w:rsid w:val="00586F68"/>
    <w:rsid w:val="005870B3"/>
    <w:rsid w:val="0059269E"/>
    <w:rsid w:val="00592862"/>
    <w:rsid w:val="00592ADF"/>
    <w:rsid w:val="00595D47"/>
    <w:rsid w:val="00595DF9"/>
    <w:rsid w:val="005961A5"/>
    <w:rsid w:val="00596B9B"/>
    <w:rsid w:val="005A07C6"/>
    <w:rsid w:val="005A0F27"/>
    <w:rsid w:val="005A1115"/>
    <w:rsid w:val="005A661C"/>
    <w:rsid w:val="005A7564"/>
    <w:rsid w:val="005B1B8D"/>
    <w:rsid w:val="005B1F86"/>
    <w:rsid w:val="005B4C20"/>
    <w:rsid w:val="005B4F31"/>
    <w:rsid w:val="005B626E"/>
    <w:rsid w:val="005B7CF2"/>
    <w:rsid w:val="005C390C"/>
    <w:rsid w:val="005C4CC9"/>
    <w:rsid w:val="005D1F6A"/>
    <w:rsid w:val="005D46C0"/>
    <w:rsid w:val="005D4CFA"/>
    <w:rsid w:val="005D4D73"/>
    <w:rsid w:val="005D5292"/>
    <w:rsid w:val="005D6678"/>
    <w:rsid w:val="005D79EA"/>
    <w:rsid w:val="005D7BB9"/>
    <w:rsid w:val="005D7F12"/>
    <w:rsid w:val="005E038B"/>
    <w:rsid w:val="005E0F7B"/>
    <w:rsid w:val="005E300C"/>
    <w:rsid w:val="005E43CC"/>
    <w:rsid w:val="005E4F31"/>
    <w:rsid w:val="005E7167"/>
    <w:rsid w:val="005F0415"/>
    <w:rsid w:val="005F1A6F"/>
    <w:rsid w:val="005F2328"/>
    <w:rsid w:val="005F25F9"/>
    <w:rsid w:val="005F41BA"/>
    <w:rsid w:val="005F4CED"/>
    <w:rsid w:val="005F559D"/>
    <w:rsid w:val="005F7FD9"/>
    <w:rsid w:val="00602EC1"/>
    <w:rsid w:val="00603066"/>
    <w:rsid w:val="0060398C"/>
    <w:rsid w:val="0060582B"/>
    <w:rsid w:val="0061029F"/>
    <w:rsid w:val="0061075E"/>
    <w:rsid w:val="00611380"/>
    <w:rsid w:val="00611A46"/>
    <w:rsid w:val="006146D4"/>
    <w:rsid w:val="006154CB"/>
    <w:rsid w:val="00617D3C"/>
    <w:rsid w:val="00620CFE"/>
    <w:rsid w:val="006243B6"/>
    <w:rsid w:val="006318AE"/>
    <w:rsid w:val="00631C95"/>
    <w:rsid w:val="00632739"/>
    <w:rsid w:val="00633F42"/>
    <w:rsid w:val="006355E2"/>
    <w:rsid w:val="00635CB9"/>
    <w:rsid w:val="0063717F"/>
    <w:rsid w:val="00640ABC"/>
    <w:rsid w:val="00647062"/>
    <w:rsid w:val="00647275"/>
    <w:rsid w:val="0064759A"/>
    <w:rsid w:val="0065485E"/>
    <w:rsid w:val="00654E26"/>
    <w:rsid w:val="006561E9"/>
    <w:rsid w:val="00656D4D"/>
    <w:rsid w:val="00657050"/>
    <w:rsid w:val="0065741C"/>
    <w:rsid w:val="00660EF8"/>
    <w:rsid w:val="0066163C"/>
    <w:rsid w:val="006618F5"/>
    <w:rsid w:val="00663612"/>
    <w:rsid w:val="00666271"/>
    <w:rsid w:val="006662B3"/>
    <w:rsid w:val="00666CFD"/>
    <w:rsid w:val="00667F46"/>
    <w:rsid w:val="0067152F"/>
    <w:rsid w:val="0067289F"/>
    <w:rsid w:val="006731ED"/>
    <w:rsid w:val="006740ED"/>
    <w:rsid w:val="00674A49"/>
    <w:rsid w:val="00676B22"/>
    <w:rsid w:val="00677409"/>
    <w:rsid w:val="00680D71"/>
    <w:rsid w:val="00681641"/>
    <w:rsid w:val="00681F3A"/>
    <w:rsid w:val="00681F75"/>
    <w:rsid w:val="00682705"/>
    <w:rsid w:val="006852A2"/>
    <w:rsid w:val="00685A7C"/>
    <w:rsid w:val="00691580"/>
    <w:rsid w:val="00693053"/>
    <w:rsid w:val="00693487"/>
    <w:rsid w:val="00694AC0"/>
    <w:rsid w:val="00696293"/>
    <w:rsid w:val="0069695D"/>
    <w:rsid w:val="006A1809"/>
    <w:rsid w:val="006A2853"/>
    <w:rsid w:val="006A334E"/>
    <w:rsid w:val="006A468A"/>
    <w:rsid w:val="006A532D"/>
    <w:rsid w:val="006A75DC"/>
    <w:rsid w:val="006A77BE"/>
    <w:rsid w:val="006A7D1B"/>
    <w:rsid w:val="006B0631"/>
    <w:rsid w:val="006B5C68"/>
    <w:rsid w:val="006B78F3"/>
    <w:rsid w:val="006C062A"/>
    <w:rsid w:val="006C11C1"/>
    <w:rsid w:val="006C184C"/>
    <w:rsid w:val="006C2965"/>
    <w:rsid w:val="006C5994"/>
    <w:rsid w:val="006D4973"/>
    <w:rsid w:val="006D75E3"/>
    <w:rsid w:val="006D7A95"/>
    <w:rsid w:val="006D7F82"/>
    <w:rsid w:val="006E09F7"/>
    <w:rsid w:val="006E3BA6"/>
    <w:rsid w:val="006E5884"/>
    <w:rsid w:val="006E6531"/>
    <w:rsid w:val="006E65B7"/>
    <w:rsid w:val="006E726C"/>
    <w:rsid w:val="006F23F8"/>
    <w:rsid w:val="006F3B24"/>
    <w:rsid w:val="006F419C"/>
    <w:rsid w:val="006F486D"/>
    <w:rsid w:val="006F50AB"/>
    <w:rsid w:val="006F54FC"/>
    <w:rsid w:val="006F5CDB"/>
    <w:rsid w:val="006F6076"/>
    <w:rsid w:val="006F71D9"/>
    <w:rsid w:val="006F7423"/>
    <w:rsid w:val="006F791D"/>
    <w:rsid w:val="00700071"/>
    <w:rsid w:val="00702350"/>
    <w:rsid w:val="00704087"/>
    <w:rsid w:val="00704AC2"/>
    <w:rsid w:val="00705D52"/>
    <w:rsid w:val="007062A0"/>
    <w:rsid w:val="00707D59"/>
    <w:rsid w:val="00710391"/>
    <w:rsid w:val="007106D8"/>
    <w:rsid w:val="00710873"/>
    <w:rsid w:val="0071102C"/>
    <w:rsid w:val="00712E4D"/>
    <w:rsid w:val="0071464C"/>
    <w:rsid w:val="00715F14"/>
    <w:rsid w:val="007176AD"/>
    <w:rsid w:val="007201C6"/>
    <w:rsid w:val="00720723"/>
    <w:rsid w:val="007208A9"/>
    <w:rsid w:val="00722BA4"/>
    <w:rsid w:val="0072325C"/>
    <w:rsid w:val="00725BD0"/>
    <w:rsid w:val="00726E0F"/>
    <w:rsid w:val="00730949"/>
    <w:rsid w:val="007311B1"/>
    <w:rsid w:val="007318BB"/>
    <w:rsid w:val="007327E8"/>
    <w:rsid w:val="0073707A"/>
    <w:rsid w:val="00737E43"/>
    <w:rsid w:val="00740CC8"/>
    <w:rsid w:val="00742234"/>
    <w:rsid w:val="00746CCB"/>
    <w:rsid w:val="00751875"/>
    <w:rsid w:val="0075241D"/>
    <w:rsid w:val="00754023"/>
    <w:rsid w:val="00754044"/>
    <w:rsid w:val="0075485C"/>
    <w:rsid w:val="0075506B"/>
    <w:rsid w:val="00756F36"/>
    <w:rsid w:val="0076158B"/>
    <w:rsid w:val="00761A70"/>
    <w:rsid w:val="00762351"/>
    <w:rsid w:val="00762F62"/>
    <w:rsid w:val="00763BC9"/>
    <w:rsid w:val="007656D3"/>
    <w:rsid w:val="00770243"/>
    <w:rsid w:val="00770A57"/>
    <w:rsid w:val="00771046"/>
    <w:rsid w:val="00771F51"/>
    <w:rsid w:val="0077434A"/>
    <w:rsid w:val="00777218"/>
    <w:rsid w:val="007813E5"/>
    <w:rsid w:val="00781895"/>
    <w:rsid w:val="00782B1F"/>
    <w:rsid w:val="00782FDB"/>
    <w:rsid w:val="0078351A"/>
    <w:rsid w:val="00783E3F"/>
    <w:rsid w:val="00784CF0"/>
    <w:rsid w:val="00786EDE"/>
    <w:rsid w:val="00790423"/>
    <w:rsid w:val="007922CC"/>
    <w:rsid w:val="00794D4E"/>
    <w:rsid w:val="00795C14"/>
    <w:rsid w:val="00797D9A"/>
    <w:rsid w:val="007A315F"/>
    <w:rsid w:val="007A3DB9"/>
    <w:rsid w:val="007A3FB7"/>
    <w:rsid w:val="007A47AF"/>
    <w:rsid w:val="007A5E9B"/>
    <w:rsid w:val="007A7A25"/>
    <w:rsid w:val="007A7C91"/>
    <w:rsid w:val="007B2973"/>
    <w:rsid w:val="007B3524"/>
    <w:rsid w:val="007B3AA9"/>
    <w:rsid w:val="007B55F3"/>
    <w:rsid w:val="007B5BCE"/>
    <w:rsid w:val="007B5C77"/>
    <w:rsid w:val="007C0F4C"/>
    <w:rsid w:val="007C1B24"/>
    <w:rsid w:val="007C2018"/>
    <w:rsid w:val="007C2379"/>
    <w:rsid w:val="007C309C"/>
    <w:rsid w:val="007C4678"/>
    <w:rsid w:val="007D0678"/>
    <w:rsid w:val="007D1D7F"/>
    <w:rsid w:val="007D2460"/>
    <w:rsid w:val="007D41EB"/>
    <w:rsid w:val="007D451E"/>
    <w:rsid w:val="007E0267"/>
    <w:rsid w:val="007E2B66"/>
    <w:rsid w:val="007E2E68"/>
    <w:rsid w:val="007E36CA"/>
    <w:rsid w:val="007E41AD"/>
    <w:rsid w:val="007E41B4"/>
    <w:rsid w:val="007E6341"/>
    <w:rsid w:val="007E6EEC"/>
    <w:rsid w:val="007E6EF4"/>
    <w:rsid w:val="007E749F"/>
    <w:rsid w:val="007E7518"/>
    <w:rsid w:val="007E7992"/>
    <w:rsid w:val="007F06C3"/>
    <w:rsid w:val="007F1A4E"/>
    <w:rsid w:val="007F1BA8"/>
    <w:rsid w:val="007F3818"/>
    <w:rsid w:val="007F578D"/>
    <w:rsid w:val="00800220"/>
    <w:rsid w:val="00800766"/>
    <w:rsid w:val="008020A2"/>
    <w:rsid w:val="00803E61"/>
    <w:rsid w:val="0080426D"/>
    <w:rsid w:val="008060EC"/>
    <w:rsid w:val="00806CF3"/>
    <w:rsid w:val="00812B14"/>
    <w:rsid w:val="008130C2"/>
    <w:rsid w:val="00813274"/>
    <w:rsid w:val="00814432"/>
    <w:rsid w:val="00817E45"/>
    <w:rsid w:val="0082181C"/>
    <w:rsid w:val="00821AA7"/>
    <w:rsid w:val="0082280F"/>
    <w:rsid w:val="00822918"/>
    <w:rsid w:val="00823B31"/>
    <w:rsid w:val="00823C26"/>
    <w:rsid w:val="008247E5"/>
    <w:rsid w:val="00827833"/>
    <w:rsid w:val="00832C57"/>
    <w:rsid w:val="008358B6"/>
    <w:rsid w:val="00836128"/>
    <w:rsid w:val="008370F9"/>
    <w:rsid w:val="008408C2"/>
    <w:rsid w:val="00841AE0"/>
    <w:rsid w:val="00843DC3"/>
    <w:rsid w:val="00843F26"/>
    <w:rsid w:val="008451A6"/>
    <w:rsid w:val="00850B2E"/>
    <w:rsid w:val="00850B99"/>
    <w:rsid w:val="008536F3"/>
    <w:rsid w:val="00855247"/>
    <w:rsid w:val="00857EF7"/>
    <w:rsid w:val="00860585"/>
    <w:rsid w:val="008634FB"/>
    <w:rsid w:val="00863F8D"/>
    <w:rsid w:val="0086400F"/>
    <w:rsid w:val="00866868"/>
    <w:rsid w:val="008674CC"/>
    <w:rsid w:val="00867595"/>
    <w:rsid w:val="00867837"/>
    <w:rsid w:val="008707AA"/>
    <w:rsid w:val="00870E80"/>
    <w:rsid w:val="00873469"/>
    <w:rsid w:val="00873B44"/>
    <w:rsid w:val="008747E6"/>
    <w:rsid w:val="008750F5"/>
    <w:rsid w:val="00875B4A"/>
    <w:rsid w:val="008826B1"/>
    <w:rsid w:val="00883AB4"/>
    <w:rsid w:val="0088440C"/>
    <w:rsid w:val="00884BDC"/>
    <w:rsid w:val="00887D1F"/>
    <w:rsid w:val="0089518B"/>
    <w:rsid w:val="008956F4"/>
    <w:rsid w:val="00895E12"/>
    <w:rsid w:val="00896F3C"/>
    <w:rsid w:val="00897229"/>
    <w:rsid w:val="008A07C5"/>
    <w:rsid w:val="008A096D"/>
    <w:rsid w:val="008A3662"/>
    <w:rsid w:val="008A3666"/>
    <w:rsid w:val="008B0026"/>
    <w:rsid w:val="008B08ED"/>
    <w:rsid w:val="008B0A80"/>
    <w:rsid w:val="008B31C0"/>
    <w:rsid w:val="008B3259"/>
    <w:rsid w:val="008B350B"/>
    <w:rsid w:val="008B61C5"/>
    <w:rsid w:val="008C0554"/>
    <w:rsid w:val="008C1569"/>
    <w:rsid w:val="008C19D7"/>
    <w:rsid w:val="008C4FD6"/>
    <w:rsid w:val="008C5357"/>
    <w:rsid w:val="008C681B"/>
    <w:rsid w:val="008C6DFE"/>
    <w:rsid w:val="008D0BD0"/>
    <w:rsid w:val="008D29E6"/>
    <w:rsid w:val="008D3AF5"/>
    <w:rsid w:val="008D5BB4"/>
    <w:rsid w:val="008D6B35"/>
    <w:rsid w:val="008D7B0F"/>
    <w:rsid w:val="008E3705"/>
    <w:rsid w:val="008E474D"/>
    <w:rsid w:val="008E5E7B"/>
    <w:rsid w:val="008E60D7"/>
    <w:rsid w:val="008F3208"/>
    <w:rsid w:val="008F49F1"/>
    <w:rsid w:val="008F6892"/>
    <w:rsid w:val="008F69FF"/>
    <w:rsid w:val="009029A7"/>
    <w:rsid w:val="00903B2A"/>
    <w:rsid w:val="00905064"/>
    <w:rsid w:val="00905CA6"/>
    <w:rsid w:val="009062EF"/>
    <w:rsid w:val="0090632E"/>
    <w:rsid w:val="009076DC"/>
    <w:rsid w:val="00910148"/>
    <w:rsid w:val="0092020C"/>
    <w:rsid w:val="009206FC"/>
    <w:rsid w:val="00920786"/>
    <w:rsid w:val="0092103F"/>
    <w:rsid w:val="009216B8"/>
    <w:rsid w:val="009228D1"/>
    <w:rsid w:val="009228DC"/>
    <w:rsid w:val="00922C7C"/>
    <w:rsid w:val="00923F81"/>
    <w:rsid w:val="00924C22"/>
    <w:rsid w:val="00925448"/>
    <w:rsid w:val="009254A6"/>
    <w:rsid w:val="00925C90"/>
    <w:rsid w:val="00926552"/>
    <w:rsid w:val="00926BD8"/>
    <w:rsid w:val="0092769D"/>
    <w:rsid w:val="00930AE6"/>
    <w:rsid w:val="009325AB"/>
    <w:rsid w:val="0093293E"/>
    <w:rsid w:val="009330A1"/>
    <w:rsid w:val="00934295"/>
    <w:rsid w:val="00937264"/>
    <w:rsid w:val="0093755D"/>
    <w:rsid w:val="00940087"/>
    <w:rsid w:val="00940328"/>
    <w:rsid w:val="00943E56"/>
    <w:rsid w:val="009444C1"/>
    <w:rsid w:val="009458A7"/>
    <w:rsid w:val="00946EFA"/>
    <w:rsid w:val="0094740B"/>
    <w:rsid w:val="0095288D"/>
    <w:rsid w:val="009530F1"/>
    <w:rsid w:val="009538FE"/>
    <w:rsid w:val="009619BA"/>
    <w:rsid w:val="00961EBE"/>
    <w:rsid w:val="00962DF0"/>
    <w:rsid w:val="009649E5"/>
    <w:rsid w:val="00965D00"/>
    <w:rsid w:val="00966D6D"/>
    <w:rsid w:val="00970998"/>
    <w:rsid w:val="0097193C"/>
    <w:rsid w:val="00972555"/>
    <w:rsid w:val="0097344D"/>
    <w:rsid w:val="009773BE"/>
    <w:rsid w:val="009800E9"/>
    <w:rsid w:val="00980182"/>
    <w:rsid w:val="00981631"/>
    <w:rsid w:val="00987560"/>
    <w:rsid w:val="00987FF5"/>
    <w:rsid w:val="00994FB5"/>
    <w:rsid w:val="00995930"/>
    <w:rsid w:val="00995AC0"/>
    <w:rsid w:val="009966DB"/>
    <w:rsid w:val="0099777E"/>
    <w:rsid w:val="009A0EAE"/>
    <w:rsid w:val="009A1327"/>
    <w:rsid w:val="009A1CCD"/>
    <w:rsid w:val="009A3A85"/>
    <w:rsid w:val="009A5F44"/>
    <w:rsid w:val="009A6C58"/>
    <w:rsid w:val="009B121E"/>
    <w:rsid w:val="009B2661"/>
    <w:rsid w:val="009B29DB"/>
    <w:rsid w:val="009B338C"/>
    <w:rsid w:val="009B359A"/>
    <w:rsid w:val="009B57CE"/>
    <w:rsid w:val="009B6199"/>
    <w:rsid w:val="009C261D"/>
    <w:rsid w:val="009C2859"/>
    <w:rsid w:val="009C3587"/>
    <w:rsid w:val="009C401D"/>
    <w:rsid w:val="009C57C5"/>
    <w:rsid w:val="009D1A99"/>
    <w:rsid w:val="009D1B78"/>
    <w:rsid w:val="009D2BFE"/>
    <w:rsid w:val="009D4367"/>
    <w:rsid w:val="009D58BE"/>
    <w:rsid w:val="009E0D56"/>
    <w:rsid w:val="009E1EC0"/>
    <w:rsid w:val="009E3FF3"/>
    <w:rsid w:val="009E6B17"/>
    <w:rsid w:val="009E7C1A"/>
    <w:rsid w:val="009F0051"/>
    <w:rsid w:val="009F10FD"/>
    <w:rsid w:val="009F2635"/>
    <w:rsid w:val="009F380A"/>
    <w:rsid w:val="009F5A56"/>
    <w:rsid w:val="009F6AB6"/>
    <w:rsid w:val="009F6F5E"/>
    <w:rsid w:val="00A008E7"/>
    <w:rsid w:val="00A0111D"/>
    <w:rsid w:val="00A04250"/>
    <w:rsid w:val="00A04D49"/>
    <w:rsid w:val="00A06398"/>
    <w:rsid w:val="00A066A7"/>
    <w:rsid w:val="00A06A43"/>
    <w:rsid w:val="00A06BA3"/>
    <w:rsid w:val="00A07210"/>
    <w:rsid w:val="00A11059"/>
    <w:rsid w:val="00A1214D"/>
    <w:rsid w:val="00A15A68"/>
    <w:rsid w:val="00A15F4E"/>
    <w:rsid w:val="00A166F7"/>
    <w:rsid w:val="00A17A50"/>
    <w:rsid w:val="00A209D1"/>
    <w:rsid w:val="00A213EE"/>
    <w:rsid w:val="00A21F4B"/>
    <w:rsid w:val="00A25D65"/>
    <w:rsid w:val="00A270FC"/>
    <w:rsid w:val="00A300C2"/>
    <w:rsid w:val="00A30746"/>
    <w:rsid w:val="00A3289A"/>
    <w:rsid w:val="00A34534"/>
    <w:rsid w:val="00A35154"/>
    <w:rsid w:val="00A37318"/>
    <w:rsid w:val="00A376DD"/>
    <w:rsid w:val="00A3796F"/>
    <w:rsid w:val="00A37E4E"/>
    <w:rsid w:val="00A40257"/>
    <w:rsid w:val="00A4105A"/>
    <w:rsid w:val="00A42A3A"/>
    <w:rsid w:val="00A43FE8"/>
    <w:rsid w:val="00A44FF4"/>
    <w:rsid w:val="00A464E9"/>
    <w:rsid w:val="00A47E41"/>
    <w:rsid w:val="00A51B01"/>
    <w:rsid w:val="00A51FC4"/>
    <w:rsid w:val="00A52196"/>
    <w:rsid w:val="00A52594"/>
    <w:rsid w:val="00A53FA9"/>
    <w:rsid w:val="00A601E3"/>
    <w:rsid w:val="00A60506"/>
    <w:rsid w:val="00A6143D"/>
    <w:rsid w:val="00A632A0"/>
    <w:rsid w:val="00A6477D"/>
    <w:rsid w:val="00A65FFB"/>
    <w:rsid w:val="00A66A78"/>
    <w:rsid w:val="00A675DE"/>
    <w:rsid w:val="00A7050D"/>
    <w:rsid w:val="00A71EB6"/>
    <w:rsid w:val="00A71EE2"/>
    <w:rsid w:val="00A73309"/>
    <w:rsid w:val="00A74EB4"/>
    <w:rsid w:val="00A76F47"/>
    <w:rsid w:val="00A777E7"/>
    <w:rsid w:val="00A77CB8"/>
    <w:rsid w:val="00A815AD"/>
    <w:rsid w:val="00A82014"/>
    <w:rsid w:val="00A86955"/>
    <w:rsid w:val="00A875EE"/>
    <w:rsid w:val="00A87C81"/>
    <w:rsid w:val="00A903F2"/>
    <w:rsid w:val="00A90873"/>
    <w:rsid w:val="00A908D8"/>
    <w:rsid w:val="00A91A26"/>
    <w:rsid w:val="00A91E0F"/>
    <w:rsid w:val="00A9280C"/>
    <w:rsid w:val="00A939C5"/>
    <w:rsid w:val="00A94663"/>
    <w:rsid w:val="00A95354"/>
    <w:rsid w:val="00A96AF0"/>
    <w:rsid w:val="00A970F8"/>
    <w:rsid w:val="00A9776D"/>
    <w:rsid w:val="00AA018D"/>
    <w:rsid w:val="00AA03D8"/>
    <w:rsid w:val="00AA09F2"/>
    <w:rsid w:val="00AA56EB"/>
    <w:rsid w:val="00AA5A88"/>
    <w:rsid w:val="00AA69DA"/>
    <w:rsid w:val="00AA7718"/>
    <w:rsid w:val="00AB0ED9"/>
    <w:rsid w:val="00AB3C31"/>
    <w:rsid w:val="00AB3DC3"/>
    <w:rsid w:val="00AB41B8"/>
    <w:rsid w:val="00AB4C1B"/>
    <w:rsid w:val="00AB4E72"/>
    <w:rsid w:val="00AB6EFA"/>
    <w:rsid w:val="00AB734A"/>
    <w:rsid w:val="00AB7477"/>
    <w:rsid w:val="00AB794A"/>
    <w:rsid w:val="00AC05BB"/>
    <w:rsid w:val="00AD3B1E"/>
    <w:rsid w:val="00AD4A3C"/>
    <w:rsid w:val="00AD6260"/>
    <w:rsid w:val="00AD6366"/>
    <w:rsid w:val="00AD6C03"/>
    <w:rsid w:val="00AD738B"/>
    <w:rsid w:val="00AE1E6A"/>
    <w:rsid w:val="00AE2570"/>
    <w:rsid w:val="00AE29E3"/>
    <w:rsid w:val="00AE5236"/>
    <w:rsid w:val="00AE607A"/>
    <w:rsid w:val="00AE73EE"/>
    <w:rsid w:val="00AE77AB"/>
    <w:rsid w:val="00AE7990"/>
    <w:rsid w:val="00AF19F7"/>
    <w:rsid w:val="00AF1AFF"/>
    <w:rsid w:val="00AF22F5"/>
    <w:rsid w:val="00AF2E30"/>
    <w:rsid w:val="00AF3B08"/>
    <w:rsid w:val="00AF67BE"/>
    <w:rsid w:val="00B04CFC"/>
    <w:rsid w:val="00B05F3E"/>
    <w:rsid w:val="00B07556"/>
    <w:rsid w:val="00B111AD"/>
    <w:rsid w:val="00B11251"/>
    <w:rsid w:val="00B11C5A"/>
    <w:rsid w:val="00B12BDF"/>
    <w:rsid w:val="00B135ED"/>
    <w:rsid w:val="00B157C3"/>
    <w:rsid w:val="00B15B16"/>
    <w:rsid w:val="00B15C11"/>
    <w:rsid w:val="00B1791F"/>
    <w:rsid w:val="00B202B1"/>
    <w:rsid w:val="00B206F4"/>
    <w:rsid w:val="00B20A7A"/>
    <w:rsid w:val="00B21590"/>
    <w:rsid w:val="00B21D74"/>
    <w:rsid w:val="00B22452"/>
    <w:rsid w:val="00B233E9"/>
    <w:rsid w:val="00B24C7C"/>
    <w:rsid w:val="00B24C8F"/>
    <w:rsid w:val="00B25CC1"/>
    <w:rsid w:val="00B26EAC"/>
    <w:rsid w:val="00B35212"/>
    <w:rsid w:val="00B369B0"/>
    <w:rsid w:val="00B407A9"/>
    <w:rsid w:val="00B410A8"/>
    <w:rsid w:val="00B4112E"/>
    <w:rsid w:val="00B41A76"/>
    <w:rsid w:val="00B435A2"/>
    <w:rsid w:val="00B43FA1"/>
    <w:rsid w:val="00B44A1A"/>
    <w:rsid w:val="00B4568E"/>
    <w:rsid w:val="00B46272"/>
    <w:rsid w:val="00B468AB"/>
    <w:rsid w:val="00B46CE4"/>
    <w:rsid w:val="00B515B9"/>
    <w:rsid w:val="00B51638"/>
    <w:rsid w:val="00B51F8E"/>
    <w:rsid w:val="00B52F0C"/>
    <w:rsid w:val="00B5358C"/>
    <w:rsid w:val="00B5372A"/>
    <w:rsid w:val="00B53BAA"/>
    <w:rsid w:val="00B53BF3"/>
    <w:rsid w:val="00B57FAC"/>
    <w:rsid w:val="00B62680"/>
    <w:rsid w:val="00B63CC1"/>
    <w:rsid w:val="00B66131"/>
    <w:rsid w:val="00B67027"/>
    <w:rsid w:val="00B7337E"/>
    <w:rsid w:val="00B73494"/>
    <w:rsid w:val="00B7437B"/>
    <w:rsid w:val="00B74665"/>
    <w:rsid w:val="00B77B93"/>
    <w:rsid w:val="00B77FAA"/>
    <w:rsid w:val="00B802EB"/>
    <w:rsid w:val="00B81D68"/>
    <w:rsid w:val="00B8307F"/>
    <w:rsid w:val="00B8400E"/>
    <w:rsid w:val="00B84824"/>
    <w:rsid w:val="00B853A8"/>
    <w:rsid w:val="00B85CE7"/>
    <w:rsid w:val="00B8739A"/>
    <w:rsid w:val="00B87AC8"/>
    <w:rsid w:val="00B918B6"/>
    <w:rsid w:val="00B91EC5"/>
    <w:rsid w:val="00BA0976"/>
    <w:rsid w:val="00BA1DB8"/>
    <w:rsid w:val="00BA3950"/>
    <w:rsid w:val="00BA4160"/>
    <w:rsid w:val="00BA6383"/>
    <w:rsid w:val="00BA79B7"/>
    <w:rsid w:val="00BB00DE"/>
    <w:rsid w:val="00BB0D37"/>
    <w:rsid w:val="00BB0F0B"/>
    <w:rsid w:val="00BB1007"/>
    <w:rsid w:val="00BB1C35"/>
    <w:rsid w:val="00BB21AD"/>
    <w:rsid w:val="00BB60F9"/>
    <w:rsid w:val="00BB745E"/>
    <w:rsid w:val="00BC1D5D"/>
    <w:rsid w:val="00BC2E52"/>
    <w:rsid w:val="00BC3D21"/>
    <w:rsid w:val="00BC553A"/>
    <w:rsid w:val="00BC629A"/>
    <w:rsid w:val="00BC6F2A"/>
    <w:rsid w:val="00BC784F"/>
    <w:rsid w:val="00BD028D"/>
    <w:rsid w:val="00BD06C8"/>
    <w:rsid w:val="00BD1DDD"/>
    <w:rsid w:val="00BD2CAE"/>
    <w:rsid w:val="00BD37A5"/>
    <w:rsid w:val="00BD55E8"/>
    <w:rsid w:val="00BD56C0"/>
    <w:rsid w:val="00BD5D9F"/>
    <w:rsid w:val="00BD6F8A"/>
    <w:rsid w:val="00BD70F7"/>
    <w:rsid w:val="00BD71D2"/>
    <w:rsid w:val="00BE1C04"/>
    <w:rsid w:val="00BE2688"/>
    <w:rsid w:val="00BE270F"/>
    <w:rsid w:val="00BE2952"/>
    <w:rsid w:val="00BE6EB6"/>
    <w:rsid w:val="00BE7F51"/>
    <w:rsid w:val="00BF1505"/>
    <w:rsid w:val="00BF213C"/>
    <w:rsid w:val="00BF2681"/>
    <w:rsid w:val="00BF2A3F"/>
    <w:rsid w:val="00BF2A5F"/>
    <w:rsid w:val="00BF3A0B"/>
    <w:rsid w:val="00BF3C54"/>
    <w:rsid w:val="00BF46E4"/>
    <w:rsid w:val="00BF4E53"/>
    <w:rsid w:val="00BF6F0F"/>
    <w:rsid w:val="00C00C0F"/>
    <w:rsid w:val="00C01913"/>
    <w:rsid w:val="00C02B80"/>
    <w:rsid w:val="00C0585A"/>
    <w:rsid w:val="00C05B26"/>
    <w:rsid w:val="00C07594"/>
    <w:rsid w:val="00C1000D"/>
    <w:rsid w:val="00C10F7E"/>
    <w:rsid w:val="00C11FA0"/>
    <w:rsid w:val="00C12CED"/>
    <w:rsid w:val="00C12E34"/>
    <w:rsid w:val="00C1355F"/>
    <w:rsid w:val="00C149F2"/>
    <w:rsid w:val="00C15117"/>
    <w:rsid w:val="00C17BA6"/>
    <w:rsid w:val="00C213FC"/>
    <w:rsid w:val="00C22FBD"/>
    <w:rsid w:val="00C2475E"/>
    <w:rsid w:val="00C25DAB"/>
    <w:rsid w:val="00C25E03"/>
    <w:rsid w:val="00C266D6"/>
    <w:rsid w:val="00C26806"/>
    <w:rsid w:val="00C27B5F"/>
    <w:rsid w:val="00C3063C"/>
    <w:rsid w:val="00C32B71"/>
    <w:rsid w:val="00C337D7"/>
    <w:rsid w:val="00C338A4"/>
    <w:rsid w:val="00C3537E"/>
    <w:rsid w:val="00C35DD4"/>
    <w:rsid w:val="00C411D0"/>
    <w:rsid w:val="00C44465"/>
    <w:rsid w:val="00C4463A"/>
    <w:rsid w:val="00C51753"/>
    <w:rsid w:val="00C52351"/>
    <w:rsid w:val="00C52F35"/>
    <w:rsid w:val="00C5387A"/>
    <w:rsid w:val="00C53B0F"/>
    <w:rsid w:val="00C570E8"/>
    <w:rsid w:val="00C60FE2"/>
    <w:rsid w:val="00C6175D"/>
    <w:rsid w:val="00C61DF3"/>
    <w:rsid w:val="00C62EC6"/>
    <w:rsid w:val="00C63EDE"/>
    <w:rsid w:val="00C65D28"/>
    <w:rsid w:val="00C6654D"/>
    <w:rsid w:val="00C677EA"/>
    <w:rsid w:val="00C70B8B"/>
    <w:rsid w:val="00C739C3"/>
    <w:rsid w:val="00C73BF6"/>
    <w:rsid w:val="00C75855"/>
    <w:rsid w:val="00C770BB"/>
    <w:rsid w:val="00C77C63"/>
    <w:rsid w:val="00C77E3F"/>
    <w:rsid w:val="00C80A92"/>
    <w:rsid w:val="00C819DB"/>
    <w:rsid w:val="00C81FC6"/>
    <w:rsid w:val="00C83EF3"/>
    <w:rsid w:val="00C84578"/>
    <w:rsid w:val="00C85178"/>
    <w:rsid w:val="00C877D8"/>
    <w:rsid w:val="00C92ED9"/>
    <w:rsid w:val="00C95C3A"/>
    <w:rsid w:val="00C97CD0"/>
    <w:rsid w:val="00CA04AE"/>
    <w:rsid w:val="00CA1532"/>
    <w:rsid w:val="00CA38C7"/>
    <w:rsid w:val="00CA3DF2"/>
    <w:rsid w:val="00CA5373"/>
    <w:rsid w:val="00CB12F4"/>
    <w:rsid w:val="00CB43B7"/>
    <w:rsid w:val="00CB4A83"/>
    <w:rsid w:val="00CB594F"/>
    <w:rsid w:val="00CB5972"/>
    <w:rsid w:val="00CB796C"/>
    <w:rsid w:val="00CC34F4"/>
    <w:rsid w:val="00CC3761"/>
    <w:rsid w:val="00CC53C6"/>
    <w:rsid w:val="00CD0AB2"/>
    <w:rsid w:val="00CD1F0A"/>
    <w:rsid w:val="00CD224D"/>
    <w:rsid w:val="00CD5A03"/>
    <w:rsid w:val="00CD7BCC"/>
    <w:rsid w:val="00CD7CF2"/>
    <w:rsid w:val="00CD7E27"/>
    <w:rsid w:val="00CE0D29"/>
    <w:rsid w:val="00CE0E5C"/>
    <w:rsid w:val="00CE16DC"/>
    <w:rsid w:val="00CF0D0B"/>
    <w:rsid w:val="00CF1510"/>
    <w:rsid w:val="00CF19C8"/>
    <w:rsid w:val="00CF4821"/>
    <w:rsid w:val="00CF5C4F"/>
    <w:rsid w:val="00CF77D9"/>
    <w:rsid w:val="00D017BB"/>
    <w:rsid w:val="00D0195B"/>
    <w:rsid w:val="00D031A4"/>
    <w:rsid w:val="00D03427"/>
    <w:rsid w:val="00D10121"/>
    <w:rsid w:val="00D13CD5"/>
    <w:rsid w:val="00D13F46"/>
    <w:rsid w:val="00D171CA"/>
    <w:rsid w:val="00D221E9"/>
    <w:rsid w:val="00D2247E"/>
    <w:rsid w:val="00D22E0C"/>
    <w:rsid w:val="00D23388"/>
    <w:rsid w:val="00D241A3"/>
    <w:rsid w:val="00D248A6"/>
    <w:rsid w:val="00D26C17"/>
    <w:rsid w:val="00D305E2"/>
    <w:rsid w:val="00D34B8A"/>
    <w:rsid w:val="00D354CC"/>
    <w:rsid w:val="00D35D94"/>
    <w:rsid w:val="00D35E50"/>
    <w:rsid w:val="00D4256E"/>
    <w:rsid w:val="00D440B7"/>
    <w:rsid w:val="00D4445C"/>
    <w:rsid w:val="00D465BE"/>
    <w:rsid w:val="00D478AC"/>
    <w:rsid w:val="00D5098C"/>
    <w:rsid w:val="00D50FBF"/>
    <w:rsid w:val="00D512A1"/>
    <w:rsid w:val="00D51827"/>
    <w:rsid w:val="00D51888"/>
    <w:rsid w:val="00D53784"/>
    <w:rsid w:val="00D571AE"/>
    <w:rsid w:val="00D61B33"/>
    <w:rsid w:val="00D6443D"/>
    <w:rsid w:val="00D717E7"/>
    <w:rsid w:val="00D71E58"/>
    <w:rsid w:val="00D722A9"/>
    <w:rsid w:val="00D7259A"/>
    <w:rsid w:val="00D72F6E"/>
    <w:rsid w:val="00D730BD"/>
    <w:rsid w:val="00D73190"/>
    <w:rsid w:val="00D732AE"/>
    <w:rsid w:val="00D734C6"/>
    <w:rsid w:val="00D75029"/>
    <w:rsid w:val="00D75559"/>
    <w:rsid w:val="00D7750C"/>
    <w:rsid w:val="00D77642"/>
    <w:rsid w:val="00D77EDC"/>
    <w:rsid w:val="00D80746"/>
    <w:rsid w:val="00D817A2"/>
    <w:rsid w:val="00D82A17"/>
    <w:rsid w:val="00D82DD0"/>
    <w:rsid w:val="00D86FE4"/>
    <w:rsid w:val="00D90795"/>
    <w:rsid w:val="00D94F82"/>
    <w:rsid w:val="00D9579B"/>
    <w:rsid w:val="00DA05EF"/>
    <w:rsid w:val="00DA27AB"/>
    <w:rsid w:val="00DA405A"/>
    <w:rsid w:val="00DA563C"/>
    <w:rsid w:val="00DA6866"/>
    <w:rsid w:val="00DA693B"/>
    <w:rsid w:val="00DA6CF2"/>
    <w:rsid w:val="00DB146A"/>
    <w:rsid w:val="00DB225F"/>
    <w:rsid w:val="00DB27FC"/>
    <w:rsid w:val="00DB3729"/>
    <w:rsid w:val="00DB51D4"/>
    <w:rsid w:val="00DB55A9"/>
    <w:rsid w:val="00DB7AD5"/>
    <w:rsid w:val="00DC0A36"/>
    <w:rsid w:val="00DC2C86"/>
    <w:rsid w:val="00DC6B20"/>
    <w:rsid w:val="00DC7401"/>
    <w:rsid w:val="00DD16A0"/>
    <w:rsid w:val="00DD1E00"/>
    <w:rsid w:val="00DD3215"/>
    <w:rsid w:val="00DD3717"/>
    <w:rsid w:val="00DD44C0"/>
    <w:rsid w:val="00DD4DAD"/>
    <w:rsid w:val="00DD62F8"/>
    <w:rsid w:val="00DD707C"/>
    <w:rsid w:val="00DE0593"/>
    <w:rsid w:val="00DE27BE"/>
    <w:rsid w:val="00DE2D2D"/>
    <w:rsid w:val="00DE5952"/>
    <w:rsid w:val="00DE666F"/>
    <w:rsid w:val="00DE7A2A"/>
    <w:rsid w:val="00DF02F2"/>
    <w:rsid w:val="00DF0C53"/>
    <w:rsid w:val="00DF2E84"/>
    <w:rsid w:val="00DF3F83"/>
    <w:rsid w:val="00DF61A1"/>
    <w:rsid w:val="00DF6BFC"/>
    <w:rsid w:val="00E019B3"/>
    <w:rsid w:val="00E022D5"/>
    <w:rsid w:val="00E03D05"/>
    <w:rsid w:val="00E045F7"/>
    <w:rsid w:val="00E05D21"/>
    <w:rsid w:val="00E10229"/>
    <w:rsid w:val="00E10B94"/>
    <w:rsid w:val="00E1425E"/>
    <w:rsid w:val="00E15164"/>
    <w:rsid w:val="00E20B39"/>
    <w:rsid w:val="00E21C9D"/>
    <w:rsid w:val="00E21D75"/>
    <w:rsid w:val="00E22472"/>
    <w:rsid w:val="00E23245"/>
    <w:rsid w:val="00E23A9F"/>
    <w:rsid w:val="00E2462F"/>
    <w:rsid w:val="00E250DF"/>
    <w:rsid w:val="00E2533D"/>
    <w:rsid w:val="00E279CF"/>
    <w:rsid w:val="00E30A4A"/>
    <w:rsid w:val="00E33A06"/>
    <w:rsid w:val="00E407CA"/>
    <w:rsid w:val="00E40B28"/>
    <w:rsid w:val="00E433B5"/>
    <w:rsid w:val="00E438BE"/>
    <w:rsid w:val="00E50B54"/>
    <w:rsid w:val="00E51231"/>
    <w:rsid w:val="00E5131F"/>
    <w:rsid w:val="00E519C8"/>
    <w:rsid w:val="00E51AC2"/>
    <w:rsid w:val="00E52891"/>
    <w:rsid w:val="00E529C9"/>
    <w:rsid w:val="00E537EF"/>
    <w:rsid w:val="00E53BB9"/>
    <w:rsid w:val="00E54590"/>
    <w:rsid w:val="00E563F1"/>
    <w:rsid w:val="00E5678E"/>
    <w:rsid w:val="00E56812"/>
    <w:rsid w:val="00E57F43"/>
    <w:rsid w:val="00E603A8"/>
    <w:rsid w:val="00E60B9B"/>
    <w:rsid w:val="00E61B34"/>
    <w:rsid w:val="00E640F6"/>
    <w:rsid w:val="00E64387"/>
    <w:rsid w:val="00E65B5C"/>
    <w:rsid w:val="00E66628"/>
    <w:rsid w:val="00E66AA1"/>
    <w:rsid w:val="00E676B5"/>
    <w:rsid w:val="00E72D29"/>
    <w:rsid w:val="00E740AB"/>
    <w:rsid w:val="00E76078"/>
    <w:rsid w:val="00E7624C"/>
    <w:rsid w:val="00E77648"/>
    <w:rsid w:val="00E77AC5"/>
    <w:rsid w:val="00E8119B"/>
    <w:rsid w:val="00E818FF"/>
    <w:rsid w:val="00E83804"/>
    <w:rsid w:val="00E8530D"/>
    <w:rsid w:val="00E9160A"/>
    <w:rsid w:val="00E9186F"/>
    <w:rsid w:val="00E91FB9"/>
    <w:rsid w:val="00E92BC2"/>
    <w:rsid w:val="00E92DE4"/>
    <w:rsid w:val="00E92FF1"/>
    <w:rsid w:val="00E9407E"/>
    <w:rsid w:val="00EA104B"/>
    <w:rsid w:val="00EA1D0D"/>
    <w:rsid w:val="00EA2D6E"/>
    <w:rsid w:val="00EA33FC"/>
    <w:rsid w:val="00EA7796"/>
    <w:rsid w:val="00EB0A82"/>
    <w:rsid w:val="00EB1CAB"/>
    <w:rsid w:val="00EB309E"/>
    <w:rsid w:val="00EB4608"/>
    <w:rsid w:val="00EB5079"/>
    <w:rsid w:val="00EB5359"/>
    <w:rsid w:val="00EC346F"/>
    <w:rsid w:val="00EC3E35"/>
    <w:rsid w:val="00EC584E"/>
    <w:rsid w:val="00EC5CDC"/>
    <w:rsid w:val="00EC61CB"/>
    <w:rsid w:val="00EC6E0D"/>
    <w:rsid w:val="00ED5F06"/>
    <w:rsid w:val="00ED6E8E"/>
    <w:rsid w:val="00ED7FB7"/>
    <w:rsid w:val="00EE0332"/>
    <w:rsid w:val="00EE0424"/>
    <w:rsid w:val="00EE24AC"/>
    <w:rsid w:val="00EE6F1B"/>
    <w:rsid w:val="00EE746B"/>
    <w:rsid w:val="00EF1367"/>
    <w:rsid w:val="00EF1A91"/>
    <w:rsid w:val="00EF2230"/>
    <w:rsid w:val="00EF3CDD"/>
    <w:rsid w:val="00EF4FE4"/>
    <w:rsid w:val="00EF6366"/>
    <w:rsid w:val="00EF6FF3"/>
    <w:rsid w:val="00EF74AE"/>
    <w:rsid w:val="00EF7E94"/>
    <w:rsid w:val="00F019A9"/>
    <w:rsid w:val="00F01F0E"/>
    <w:rsid w:val="00F04A1F"/>
    <w:rsid w:val="00F05977"/>
    <w:rsid w:val="00F10C46"/>
    <w:rsid w:val="00F10D61"/>
    <w:rsid w:val="00F114D9"/>
    <w:rsid w:val="00F158F4"/>
    <w:rsid w:val="00F167B3"/>
    <w:rsid w:val="00F17615"/>
    <w:rsid w:val="00F21015"/>
    <w:rsid w:val="00F21B4F"/>
    <w:rsid w:val="00F21EF5"/>
    <w:rsid w:val="00F24AF3"/>
    <w:rsid w:val="00F2689D"/>
    <w:rsid w:val="00F3040F"/>
    <w:rsid w:val="00F34456"/>
    <w:rsid w:val="00F35980"/>
    <w:rsid w:val="00F36400"/>
    <w:rsid w:val="00F36AE4"/>
    <w:rsid w:val="00F371C5"/>
    <w:rsid w:val="00F37481"/>
    <w:rsid w:val="00F37521"/>
    <w:rsid w:val="00F40B9A"/>
    <w:rsid w:val="00F50A95"/>
    <w:rsid w:val="00F510BB"/>
    <w:rsid w:val="00F51AC0"/>
    <w:rsid w:val="00F51D81"/>
    <w:rsid w:val="00F53421"/>
    <w:rsid w:val="00F5405E"/>
    <w:rsid w:val="00F56F41"/>
    <w:rsid w:val="00F61882"/>
    <w:rsid w:val="00F63B82"/>
    <w:rsid w:val="00F6604D"/>
    <w:rsid w:val="00F664A9"/>
    <w:rsid w:val="00F66647"/>
    <w:rsid w:val="00F668D5"/>
    <w:rsid w:val="00F70A2C"/>
    <w:rsid w:val="00F70A31"/>
    <w:rsid w:val="00F73741"/>
    <w:rsid w:val="00F74160"/>
    <w:rsid w:val="00F76305"/>
    <w:rsid w:val="00F8075E"/>
    <w:rsid w:val="00F81B3A"/>
    <w:rsid w:val="00F81C6D"/>
    <w:rsid w:val="00F82406"/>
    <w:rsid w:val="00F84454"/>
    <w:rsid w:val="00F84937"/>
    <w:rsid w:val="00F855D4"/>
    <w:rsid w:val="00F873BF"/>
    <w:rsid w:val="00F87824"/>
    <w:rsid w:val="00F90A29"/>
    <w:rsid w:val="00F90A70"/>
    <w:rsid w:val="00F90B5D"/>
    <w:rsid w:val="00F90CF3"/>
    <w:rsid w:val="00F915A6"/>
    <w:rsid w:val="00F92A3D"/>
    <w:rsid w:val="00F93740"/>
    <w:rsid w:val="00F95BE9"/>
    <w:rsid w:val="00F97F39"/>
    <w:rsid w:val="00FA25F7"/>
    <w:rsid w:val="00FA507C"/>
    <w:rsid w:val="00FA5187"/>
    <w:rsid w:val="00FA5578"/>
    <w:rsid w:val="00FA74A1"/>
    <w:rsid w:val="00FB1AD3"/>
    <w:rsid w:val="00FB3D8F"/>
    <w:rsid w:val="00FB500F"/>
    <w:rsid w:val="00FB54DF"/>
    <w:rsid w:val="00FB5BAE"/>
    <w:rsid w:val="00FB5D70"/>
    <w:rsid w:val="00FB67B3"/>
    <w:rsid w:val="00FB7605"/>
    <w:rsid w:val="00FB77A9"/>
    <w:rsid w:val="00FC1F6C"/>
    <w:rsid w:val="00FC23A4"/>
    <w:rsid w:val="00FC2851"/>
    <w:rsid w:val="00FC4333"/>
    <w:rsid w:val="00FC4DFE"/>
    <w:rsid w:val="00FC52A1"/>
    <w:rsid w:val="00FC6D4C"/>
    <w:rsid w:val="00FD136A"/>
    <w:rsid w:val="00FD160C"/>
    <w:rsid w:val="00FD38D0"/>
    <w:rsid w:val="00FD551E"/>
    <w:rsid w:val="00FD5841"/>
    <w:rsid w:val="00FD5C70"/>
    <w:rsid w:val="00FD7C48"/>
    <w:rsid w:val="00FE03FC"/>
    <w:rsid w:val="00FE08F1"/>
    <w:rsid w:val="00FE3BCB"/>
    <w:rsid w:val="00FE3CA7"/>
    <w:rsid w:val="00FE3EBB"/>
    <w:rsid w:val="00FE5EC8"/>
    <w:rsid w:val="00FE6E5F"/>
    <w:rsid w:val="00FF1F3B"/>
    <w:rsid w:val="00FF32A3"/>
    <w:rsid w:val="00FF56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85F78A4-3E1E-4876-B0C3-1D8B4B0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F22F5"/>
    <w:pPr>
      <w:spacing w:before="120" w:after="120"/>
      <w:ind w:left="142"/>
      <w:jc w:val="both"/>
    </w:pPr>
    <w:rPr>
      <w:rFonts w:ascii="Arial" w:hAnsi="Arial" w:cs="Arial"/>
      <w:sz w:val="22"/>
    </w:rPr>
  </w:style>
  <w:style w:type="paragraph" w:styleId="Heading1">
    <w:name w:val="heading 1"/>
    <w:aliases w:val="Titre1 av num,(Titre),Niveau 1,Heading 1 CFMU,Chapitres,Partie"/>
    <w:basedOn w:val="Normal"/>
    <w:next w:val="Normal"/>
    <w:autoRedefine/>
    <w:qFormat/>
    <w:rsid w:val="005A0F27"/>
    <w:pPr>
      <w:keepNext/>
      <w:pageBreakBefore/>
      <w:numPr>
        <w:numId w:val="1"/>
      </w:numPr>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ind w:left="431" w:hanging="431"/>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qFormat/>
    <w:rsid w:val="0065741C"/>
    <w:pPr>
      <w:keepNext/>
      <w:numPr>
        <w:ilvl w:val="1"/>
        <w:numId w:val="1"/>
      </w:numPr>
      <w:spacing w:before="60" w:after="240"/>
      <w:outlineLvl w:val="1"/>
    </w:pPr>
    <w:rPr>
      <w:rFonts w:ascii="Verdana" w:hAnsi="Verdana" w:cs="Times New Roman"/>
      <w:b/>
      <w:bCs/>
      <w:i/>
      <w:iCs/>
      <w:sz w:val="26"/>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autoRedefine/>
    <w:qFormat/>
    <w:rsid w:val="00005D16"/>
    <w:pPr>
      <w:keepNext/>
      <w:numPr>
        <w:ilvl w:val="2"/>
        <w:numId w:val="1"/>
      </w:numPr>
      <w:tabs>
        <w:tab w:val="left" w:pos="851"/>
      </w:tabs>
      <w:autoSpaceDE w:val="0"/>
      <w:autoSpaceDN w:val="0"/>
      <w:adjustRightInd w:val="0"/>
      <w:spacing w:after="160"/>
      <w:outlineLvl w:val="2"/>
    </w:pPr>
    <w:rPr>
      <w:bCs/>
      <w:sz w:val="26"/>
      <w:szCs w:val="26"/>
      <w:u w:val="single"/>
    </w:rPr>
  </w:style>
  <w:style w:type="paragraph" w:styleId="Heading4">
    <w:name w:val="heading 4"/>
    <w:aliases w:val="Titre 4 av num,Niveau 1.1.1,Module"/>
    <w:basedOn w:val="Normal"/>
    <w:next w:val="Normal"/>
    <w:autoRedefine/>
    <w:qFormat/>
    <w:rsid w:val="00657050"/>
    <w:pPr>
      <w:numPr>
        <w:ilvl w:val="3"/>
        <w:numId w:val="1"/>
      </w:numPr>
      <w:tabs>
        <w:tab w:val="clear" w:pos="864"/>
        <w:tab w:val="left" w:pos="2340"/>
      </w:tabs>
      <w:overflowPunct w:val="0"/>
      <w:autoSpaceDE w:val="0"/>
      <w:autoSpaceDN w:val="0"/>
      <w:adjustRightInd w:val="0"/>
      <w:ind w:left="0" w:firstLine="1418"/>
      <w:textAlignment w:val="baseline"/>
      <w:outlineLvl w:val="3"/>
    </w:pPr>
    <w:rPr>
      <w:rFonts w:ascii="Calibri" w:hAnsi="Calibri"/>
      <w:bCs/>
      <w:i/>
      <w:noProof/>
      <w:sz w:val="24"/>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numPr>
        <w:numId w:val="0"/>
      </w:numPr>
    </w:pPr>
  </w:style>
  <w:style w:type="paragraph" w:styleId="TOC1">
    <w:name w:val="toc 1"/>
    <w:basedOn w:val="Normal"/>
    <w:next w:val="Normal"/>
    <w:autoRedefine/>
    <w:uiPriority w:val="39"/>
    <w:rsid w:val="005A1115"/>
    <w:pPr>
      <w:tabs>
        <w:tab w:val="left" w:pos="426"/>
        <w:tab w:val="right" w:leader="underscore" w:pos="14601"/>
      </w:tabs>
      <w:jc w:val="left"/>
    </w:pPr>
  </w:style>
  <w:style w:type="paragraph" w:customStyle="1" w:styleId="Entte1">
    <w:name w:val="Entête 1"/>
    <w:basedOn w:val="Normal"/>
    <w:next w:val="Normal"/>
    <w:link w:val="Entte1Car"/>
    <w:autoRedefine/>
    <w:rsid w:val="003063A1"/>
    <w:pPr>
      <w:spacing w:before="480" w:after="60"/>
      <w:ind w:left="215"/>
      <w:jc w:val="center"/>
    </w:pPr>
    <w:rPr>
      <w:rFonts w:ascii="Trebuchet MS" w:hAnsi="Trebuchet MS" w:cs="Times New Roman"/>
      <w:b/>
      <w:i/>
      <w:caps/>
      <w:sz w:val="28"/>
      <w:szCs w:val="48"/>
      <w:lang w:eastAsia="en-US"/>
    </w:rPr>
  </w:style>
  <w:style w:type="character" w:customStyle="1" w:styleId="Entte1Car">
    <w:name w:val="Entête 1 Car"/>
    <w:link w:val="Entte1"/>
    <w:rsid w:val="003063A1"/>
    <w:rPr>
      <w:rFonts w:ascii="Trebuchet MS" w:hAnsi="Trebuchet MS"/>
      <w:b/>
      <w:i/>
      <w:caps/>
      <w:sz w:val="28"/>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5A1115"/>
    <w:pPr>
      <w:tabs>
        <w:tab w:val="left" w:pos="960"/>
        <w:tab w:val="right" w:leader="underscore" w:pos="14601"/>
      </w:tabs>
      <w:spacing w:before="80"/>
      <w:ind w:left="221" w:firstLine="346"/>
    </w:pPr>
  </w:style>
  <w:style w:type="paragraph" w:styleId="TOC3">
    <w:name w:val="toc 3"/>
    <w:basedOn w:val="Normal"/>
    <w:next w:val="Normal"/>
    <w:autoRedefine/>
    <w:uiPriority w:val="39"/>
    <w:rsid w:val="00814432"/>
    <w:pPr>
      <w:tabs>
        <w:tab w:val="left" w:pos="1418"/>
        <w:tab w:val="right" w:leader="underscore" w:pos="14570"/>
      </w:tabs>
      <w:spacing w:before="40"/>
      <w:ind w:left="442" w:firstLine="409"/>
    </w:pPr>
  </w:style>
  <w:style w:type="paragraph" w:styleId="TOC4">
    <w:name w:val="toc 4"/>
    <w:basedOn w:val="Normal"/>
    <w:next w:val="Normal"/>
    <w:autoRedefine/>
    <w:uiPriority w:val="39"/>
    <w:rsid w:val="00EC346F"/>
    <w:pPr>
      <w:ind w:left="660"/>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rsid w:val="00064CA3"/>
    <w:rPr>
      <w:rFonts w:ascii="Verdana" w:hAnsi="Verdana"/>
      <w:b/>
      <w:bCs/>
      <w:i/>
      <w:iCs/>
      <w:sz w:val="26"/>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contextualSpacing/>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contextualSpacing/>
    </w:pPr>
  </w:style>
  <w:style w:type="paragraph" w:customStyle="1" w:styleId="Justifi">
    <w:name w:val="Justifié"/>
    <w:basedOn w:val="Normal"/>
    <w:link w:val="JustifiChar"/>
    <w:autoRedefine/>
    <w:qFormat/>
    <w:rsid w:val="009216B8"/>
  </w:style>
  <w:style w:type="character" w:customStyle="1" w:styleId="JustifiChar">
    <w:name w:val="Justifié Char"/>
    <w:basedOn w:val="DefaultParagraphFont"/>
    <w:link w:val="Justifi"/>
    <w:rsid w:val="009216B8"/>
    <w:rPr>
      <w:rFonts w:ascii="Arial" w:hAnsi="Arial" w:cs="Arial"/>
      <w:sz w:val="22"/>
    </w:rPr>
  </w:style>
  <w:style w:type="paragraph" w:styleId="FootnoteText">
    <w:name w:val="footnote text"/>
    <w:basedOn w:val="Normal"/>
    <w:link w:val="FootnoteTextChar"/>
    <w:uiPriority w:val="99"/>
    <w:semiHidden/>
    <w:unhideWhenUsed/>
    <w:rsid w:val="008D3AF5"/>
    <w:pPr>
      <w:spacing w:before="0" w:after="0"/>
    </w:pPr>
    <w:rPr>
      <w:sz w:val="20"/>
    </w:rPr>
  </w:style>
  <w:style w:type="character" w:customStyle="1" w:styleId="FootnoteTextChar">
    <w:name w:val="Footnote Text Char"/>
    <w:basedOn w:val="DefaultParagraphFont"/>
    <w:link w:val="FootnoteText"/>
    <w:uiPriority w:val="99"/>
    <w:semiHidden/>
    <w:rsid w:val="008D3AF5"/>
    <w:rPr>
      <w:rFonts w:ascii="Arial" w:hAnsi="Arial" w:cs="Arial"/>
    </w:rPr>
  </w:style>
  <w:style w:type="character" w:styleId="FootnoteReference">
    <w:name w:val="footnote reference"/>
    <w:basedOn w:val="DefaultParagraphFont"/>
    <w:uiPriority w:val="99"/>
    <w:semiHidden/>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character" w:styleId="IntenseEmphasis">
    <w:name w:val="Intense Emphasis"/>
    <w:basedOn w:val="DefaultParagraphFont"/>
    <w:uiPriority w:val="21"/>
    <w:qFormat/>
    <w:rsid w:val="003063A1"/>
    <w:rPr>
      <w:b/>
      <w:bCs/>
      <w:i/>
      <w:iCs/>
      <w:color w:val="5B9BD5" w:themeColor="accent1"/>
    </w:rPr>
  </w:style>
  <w:style w:type="character" w:styleId="BookTitle">
    <w:name w:val="Book Title"/>
    <w:basedOn w:val="DefaultParagraphFont"/>
    <w:uiPriority w:val="33"/>
    <w:qFormat/>
    <w:rsid w:val="00681F75"/>
    <w:rPr>
      <w:b/>
      <w:bCs/>
      <w:smallCaps/>
      <w:spacing w:val="5"/>
    </w:rPr>
  </w:style>
  <w:style w:type="paragraph" w:customStyle="1" w:styleId="Default">
    <w:name w:val="Default"/>
    <w:rsid w:val="004D6418"/>
    <w:pPr>
      <w:autoSpaceDE w:val="0"/>
      <w:autoSpaceDN w:val="0"/>
      <w:adjustRightInd w:val="0"/>
    </w:pPr>
    <w:rPr>
      <w:rFonts w:ascii="Arial" w:eastAsia="Calibri" w:hAnsi="Arial" w:cs="Arial"/>
      <w:color w:val="000000"/>
      <w:sz w:val="24"/>
      <w:szCs w:val="24"/>
      <w:lang w:val="en-US" w:eastAsia="en-US"/>
    </w:rPr>
  </w:style>
  <w:style w:type="character" w:customStyle="1" w:styleId="FooterChar">
    <w:name w:val="Footer Char"/>
    <w:basedOn w:val="DefaultParagraphFont"/>
    <w:link w:val="Footer"/>
    <w:uiPriority w:val="99"/>
    <w:rsid w:val="001B117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305">
      <w:bodyDiv w:val="1"/>
      <w:marLeft w:val="0"/>
      <w:marRight w:val="0"/>
      <w:marTop w:val="0"/>
      <w:marBottom w:val="0"/>
      <w:divBdr>
        <w:top w:val="none" w:sz="0" w:space="0" w:color="auto"/>
        <w:left w:val="none" w:sz="0" w:space="0" w:color="auto"/>
        <w:bottom w:val="none" w:sz="0" w:space="0" w:color="auto"/>
        <w:right w:val="none" w:sz="0" w:space="0" w:color="auto"/>
      </w:divBdr>
    </w:div>
    <w:div w:id="49117991">
      <w:bodyDiv w:val="1"/>
      <w:marLeft w:val="0"/>
      <w:marRight w:val="0"/>
      <w:marTop w:val="0"/>
      <w:marBottom w:val="0"/>
      <w:divBdr>
        <w:top w:val="none" w:sz="0" w:space="0" w:color="auto"/>
        <w:left w:val="none" w:sz="0" w:space="0" w:color="auto"/>
        <w:bottom w:val="none" w:sz="0" w:space="0" w:color="auto"/>
        <w:right w:val="none" w:sz="0" w:space="0" w:color="auto"/>
      </w:divBdr>
    </w:div>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236522160">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266811490">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359281812">
      <w:bodyDiv w:val="1"/>
      <w:marLeft w:val="0"/>
      <w:marRight w:val="0"/>
      <w:marTop w:val="0"/>
      <w:marBottom w:val="0"/>
      <w:divBdr>
        <w:top w:val="none" w:sz="0" w:space="0" w:color="auto"/>
        <w:left w:val="none" w:sz="0" w:space="0" w:color="auto"/>
        <w:bottom w:val="none" w:sz="0" w:space="0" w:color="auto"/>
        <w:right w:val="none" w:sz="0" w:space="0" w:color="auto"/>
      </w:divBdr>
    </w:div>
    <w:div w:id="398359930">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10857490">
      <w:bodyDiv w:val="1"/>
      <w:marLeft w:val="0"/>
      <w:marRight w:val="0"/>
      <w:marTop w:val="0"/>
      <w:marBottom w:val="0"/>
      <w:divBdr>
        <w:top w:val="none" w:sz="0" w:space="0" w:color="auto"/>
        <w:left w:val="none" w:sz="0" w:space="0" w:color="auto"/>
        <w:bottom w:val="none" w:sz="0" w:space="0" w:color="auto"/>
        <w:right w:val="none" w:sz="0" w:space="0" w:color="auto"/>
      </w:divBdr>
    </w:div>
    <w:div w:id="448403506">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535432524">
      <w:bodyDiv w:val="1"/>
      <w:marLeft w:val="0"/>
      <w:marRight w:val="0"/>
      <w:marTop w:val="0"/>
      <w:marBottom w:val="0"/>
      <w:divBdr>
        <w:top w:val="none" w:sz="0" w:space="0" w:color="auto"/>
        <w:left w:val="none" w:sz="0" w:space="0" w:color="auto"/>
        <w:bottom w:val="none" w:sz="0" w:space="0" w:color="auto"/>
        <w:right w:val="none" w:sz="0" w:space="0" w:color="auto"/>
      </w:divBdr>
    </w:div>
    <w:div w:id="700126765">
      <w:bodyDiv w:val="1"/>
      <w:marLeft w:val="0"/>
      <w:marRight w:val="0"/>
      <w:marTop w:val="0"/>
      <w:marBottom w:val="0"/>
      <w:divBdr>
        <w:top w:val="none" w:sz="0" w:space="0" w:color="auto"/>
        <w:left w:val="none" w:sz="0" w:space="0" w:color="auto"/>
        <w:bottom w:val="none" w:sz="0" w:space="0" w:color="auto"/>
        <w:right w:val="none" w:sz="0" w:space="0" w:color="auto"/>
      </w:divBdr>
    </w:div>
    <w:div w:id="705984709">
      <w:bodyDiv w:val="1"/>
      <w:marLeft w:val="0"/>
      <w:marRight w:val="0"/>
      <w:marTop w:val="0"/>
      <w:marBottom w:val="0"/>
      <w:divBdr>
        <w:top w:val="none" w:sz="0" w:space="0" w:color="auto"/>
        <w:left w:val="none" w:sz="0" w:space="0" w:color="auto"/>
        <w:bottom w:val="none" w:sz="0" w:space="0" w:color="auto"/>
        <w:right w:val="none" w:sz="0" w:space="0" w:color="auto"/>
      </w:divBdr>
    </w:div>
    <w:div w:id="716003601">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29994754">
      <w:bodyDiv w:val="1"/>
      <w:marLeft w:val="0"/>
      <w:marRight w:val="0"/>
      <w:marTop w:val="0"/>
      <w:marBottom w:val="0"/>
      <w:divBdr>
        <w:top w:val="none" w:sz="0" w:space="0" w:color="auto"/>
        <w:left w:val="none" w:sz="0" w:space="0" w:color="auto"/>
        <w:bottom w:val="none" w:sz="0" w:space="0" w:color="auto"/>
        <w:right w:val="none" w:sz="0" w:space="0" w:color="auto"/>
      </w:divBdr>
    </w:div>
    <w:div w:id="1106274160">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499421015">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532112798">
      <w:bodyDiv w:val="1"/>
      <w:marLeft w:val="0"/>
      <w:marRight w:val="0"/>
      <w:marTop w:val="0"/>
      <w:marBottom w:val="0"/>
      <w:divBdr>
        <w:top w:val="none" w:sz="0" w:space="0" w:color="auto"/>
        <w:left w:val="none" w:sz="0" w:space="0" w:color="auto"/>
        <w:bottom w:val="none" w:sz="0" w:space="0" w:color="auto"/>
        <w:right w:val="none" w:sz="0" w:space="0" w:color="auto"/>
      </w:divBdr>
    </w:div>
    <w:div w:id="1535724959">
      <w:bodyDiv w:val="1"/>
      <w:marLeft w:val="0"/>
      <w:marRight w:val="0"/>
      <w:marTop w:val="0"/>
      <w:marBottom w:val="0"/>
      <w:divBdr>
        <w:top w:val="none" w:sz="0" w:space="0" w:color="auto"/>
        <w:left w:val="none" w:sz="0" w:space="0" w:color="auto"/>
        <w:bottom w:val="none" w:sz="0" w:space="0" w:color="auto"/>
        <w:right w:val="none" w:sz="0" w:space="0" w:color="auto"/>
      </w:divBdr>
    </w:div>
    <w:div w:id="1540631488">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700818758">
      <w:bodyDiv w:val="1"/>
      <w:marLeft w:val="0"/>
      <w:marRight w:val="0"/>
      <w:marTop w:val="0"/>
      <w:marBottom w:val="0"/>
      <w:divBdr>
        <w:top w:val="none" w:sz="0" w:space="0" w:color="auto"/>
        <w:left w:val="none" w:sz="0" w:space="0" w:color="auto"/>
        <w:bottom w:val="none" w:sz="0" w:space="0" w:color="auto"/>
        <w:right w:val="none" w:sz="0" w:space="0" w:color="auto"/>
      </w:divBdr>
    </w:div>
    <w:div w:id="1701859877">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1874150796">
      <w:bodyDiv w:val="1"/>
      <w:marLeft w:val="0"/>
      <w:marRight w:val="0"/>
      <w:marTop w:val="0"/>
      <w:marBottom w:val="0"/>
      <w:divBdr>
        <w:top w:val="none" w:sz="0" w:space="0" w:color="auto"/>
        <w:left w:val="none" w:sz="0" w:space="0" w:color="auto"/>
        <w:bottom w:val="none" w:sz="0" w:space="0" w:color="auto"/>
        <w:right w:val="none" w:sz="0" w:space="0" w:color="auto"/>
      </w:divBdr>
    </w:div>
    <w:div w:id="1889489451">
      <w:bodyDiv w:val="1"/>
      <w:marLeft w:val="0"/>
      <w:marRight w:val="0"/>
      <w:marTop w:val="0"/>
      <w:marBottom w:val="0"/>
      <w:divBdr>
        <w:top w:val="none" w:sz="0" w:space="0" w:color="auto"/>
        <w:left w:val="none" w:sz="0" w:space="0" w:color="auto"/>
        <w:bottom w:val="none" w:sz="0" w:space="0" w:color="auto"/>
        <w:right w:val="none" w:sz="0" w:space="0" w:color="auto"/>
      </w:divBdr>
    </w:div>
    <w:div w:id="1988824320">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emf"/><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9.png"/><Relationship Id="rId32"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hyperlink" Target="http://www.mohamedelafrit.com/ept204"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ohamedelafrit.com/ept204" TargetMode="External"/><Relationship Id="rId14" Type="http://schemas.openxmlformats.org/officeDocument/2006/relationships/diagramColors" Target="diagrams/colors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2.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C7FCAA-0BF9-4DF9-AC30-8F04DE1A78F7}" type="doc">
      <dgm:prSet loTypeId="urn:microsoft.com/office/officeart/2005/8/layout/vList5" loCatId="list" qsTypeId="urn:microsoft.com/office/officeart/2005/8/quickstyle/simple1" qsCatId="simple" csTypeId="urn:microsoft.com/office/officeart/2005/8/colors/colorful1#1" csCatId="colorful" phldr="1"/>
      <dgm:spPr/>
      <dgm:t>
        <a:bodyPr/>
        <a:lstStyle/>
        <a:p>
          <a:endParaRPr lang="fr-FR"/>
        </a:p>
      </dgm:t>
    </dgm:pt>
    <dgm:pt modelId="{DD955BB4-6475-4DB8-A50C-E54FD3961FD9}">
      <dgm:prSet phldrT="[Texte]" custT="1"/>
      <dgm:spPr/>
      <dgm:t>
        <a:bodyPr/>
        <a:lstStyle/>
        <a:p>
          <a:r>
            <a:rPr lang="fr-FR" sz="1200"/>
            <a:t>Section</a:t>
          </a:r>
          <a:r>
            <a:rPr lang="fr-FR" sz="1200" b="1"/>
            <a:t>: J</a:t>
          </a:r>
        </a:p>
      </dgm:t>
    </dgm:pt>
    <dgm:pt modelId="{8EE3CE9C-7282-4E5E-9FFF-A6F26A362650}" type="parTrans" cxnId="{D6334286-FDB5-4AE9-A0CC-95ADBC8A9F40}">
      <dgm:prSet/>
      <dgm:spPr/>
      <dgm:t>
        <a:bodyPr/>
        <a:lstStyle/>
        <a:p>
          <a:endParaRPr lang="fr-FR"/>
        </a:p>
      </dgm:t>
    </dgm:pt>
    <dgm:pt modelId="{13F0C066-0A94-4D55-90B6-DA5CE68CC76E}" type="sibTrans" cxnId="{D6334286-FDB5-4AE9-A0CC-95ADBC8A9F40}">
      <dgm:prSet/>
      <dgm:spPr/>
      <dgm:t>
        <a:bodyPr/>
        <a:lstStyle/>
        <a:p>
          <a:endParaRPr lang="fr-FR"/>
        </a:p>
      </dgm:t>
    </dgm:pt>
    <dgm:pt modelId="{2AFBCA29-63B7-4FFD-99A3-D6C862022AAA}">
      <dgm:prSet phldrT="[Texte]" custT="1"/>
      <dgm:spPr/>
      <dgm:t>
        <a:bodyPr/>
        <a:lstStyle/>
        <a:p>
          <a:r>
            <a:rPr lang="fr-FR" sz="1200" b="0" i="0"/>
            <a:t>Information et communication</a:t>
          </a:r>
          <a:endParaRPr lang="fr-FR" sz="1200" b="0"/>
        </a:p>
      </dgm:t>
    </dgm:pt>
    <dgm:pt modelId="{2275DFC3-47B5-41D5-9CD1-588F8094EE53}" type="parTrans" cxnId="{E89A5099-1D3D-4914-90B6-1967654CAA5F}">
      <dgm:prSet/>
      <dgm:spPr/>
      <dgm:t>
        <a:bodyPr/>
        <a:lstStyle/>
        <a:p>
          <a:endParaRPr lang="fr-FR"/>
        </a:p>
      </dgm:t>
    </dgm:pt>
    <dgm:pt modelId="{9B4D0D28-068F-463E-999D-D6D4FCF0E2F4}" type="sibTrans" cxnId="{E89A5099-1D3D-4914-90B6-1967654CAA5F}">
      <dgm:prSet/>
      <dgm:spPr/>
      <dgm:t>
        <a:bodyPr/>
        <a:lstStyle/>
        <a:p>
          <a:endParaRPr lang="fr-FR"/>
        </a:p>
      </dgm:t>
    </dgm:pt>
    <dgm:pt modelId="{FC756F5C-05EC-4C19-A5B9-A377A418CD66}">
      <dgm:prSet phldrT="[Texte]" custT="1"/>
      <dgm:spPr/>
      <dgm:t>
        <a:bodyPr/>
        <a:lstStyle/>
        <a:p>
          <a:r>
            <a:rPr lang="fr-FR" sz="1200"/>
            <a:t>Division: </a:t>
          </a:r>
          <a:r>
            <a:rPr lang="fr-FR" sz="1200" b="1"/>
            <a:t>62</a:t>
          </a:r>
        </a:p>
      </dgm:t>
    </dgm:pt>
    <dgm:pt modelId="{490977DE-6AE3-4838-96D5-21E4E62C9BE8}" type="parTrans" cxnId="{FC4FAF77-A529-471A-8AF7-4DBE787EE474}">
      <dgm:prSet/>
      <dgm:spPr/>
      <dgm:t>
        <a:bodyPr/>
        <a:lstStyle/>
        <a:p>
          <a:endParaRPr lang="fr-FR"/>
        </a:p>
      </dgm:t>
    </dgm:pt>
    <dgm:pt modelId="{AD90D8D3-243D-48FA-905B-FF3B7BC77B78}" type="sibTrans" cxnId="{FC4FAF77-A529-471A-8AF7-4DBE787EE474}">
      <dgm:prSet/>
      <dgm:spPr/>
      <dgm:t>
        <a:bodyPr/>
        <a:lstStyle/>
        <a:p>
          <a:endParaRPr lang="fr-FR"/>
        </a:p>
      </dgm:t>
    </dgm:pt>
    <dgm:pt modelId="{7518DB72-F0C4-4B4D-A7EA-A1D2FF0C1238}">
      <dgm:prSet phldrT="[Texte]" custT="1"/>
      <dgm:spPr/>
      <dgm:t>
        <a:bodyPr/>
        <a:lstStyle/>
        <a:p>
          <a:r>
            <a:rPr lang="fr-FR" sz="1200" b="0" i="0"/>
            <a:t>Programmation, conseil et autres activités informatiques</a:t>
          </a:r>
          <a:endParaRPr lang="fr-FR" sz="1200" b="0"/>
        </a:p>
      </dgm:t>
    </dgm:pt>
    <dgm:pt modelId="{9C876C29-49BF-4D1A-8F78-3286B817FE3C}" type="parTrans" cxnId="{B4C47DAC-0002-4B2B-956C-56F21E93D497}">
      <dgm:prSet/>
      <dgm:spPr/>
      <dgm:t>
        <a:bodyPr/>
        <a:lstStyle/>
        <a:p>
          <a:endParaRPr lang="fr-FR"/>
        </a:p>
      </dgm:t>
    </dgm:pt>
    <dgm:pt modelId="{272EB0F1-4F0B-4921-A2E5-9A843136EBBF}" type="sibTrans" cxnId="{B4C47DAC-0002-4B2B-956C-56F21E93D497}">
      <dgm:prSet/>
      <dgm:spPr/>
      <dgm:t>
        <a:bodyPr/>
        <a:lstStyle/>
        <a:p>
          <a:endParaRPr lang="fr-FR"/>
        </a:p>
      </dgm:t>
    </dgm:pt>
    <dgm:pt modelId="{09847663-ECFD-4973-B435-543EE830B357}">
      <dgm:prSet phldrT="[Texte]" custT="1"/>
      <dgm:spPr/>
      <dgm:t>
        <a:bodyPr/>
        <a:lstStyle/>
        <a:p>
          <a:r>
            <a:rPr lang="fr-FR" sz="1200"/>
            <a:t>Groupe: </a:t>
          </a:r>
          <a:r>
            <a:rPr lang="fr-FR" sz="1200" b="1"/>
            <a:t>62.0</a:t>
          </a:r>
        </a:p>
      </dgm:t>
    </dgm:pt>
    <dgm:pt modelId="{B9DF5125-2D73-45F2-8BDC-F60900542446}" type="parTrans" cxnId="{CD961B21-EB78-4E33-BA54-DC9BDC767FE7}">
      <dgm:prSet/>
      <dgm:spPr/>
      <dgm:t>
        <a:bodyPr/>
        <a:lstStyle/>
        <a:p>
          <a:endParaRPr lang="fr-FR"/>
        </a:p>
      </dgm:t>
    </dgm:pt>
    <dgm:pt modelId="{15EBC1D6-9BF8-4120-BFC3-313DAE536BCC}" type="sibTrans" cxnId="{CD961B21-EB78-4E33-BA54-DC9BDC767FE7}">
      <dgm:prSet/>
      <dgm:spPr/>
      <dgm:t>
        <a:bodyPr/>
        <a:lstStyle/>
        <a:p>
          <a:endParaRPr lang="fr-FR"/>
        </a:p>
      </dgm:t>
    </dgm:pt>
    <dgm:pt modelId="{B6D3EF0F-AE8C-4683-8F45-92A5DB1E2EB2}">
      <dgm:prSet phldrT="[Texte]" custT="1"/>
      <dgm:spPr/>
      <dgm:t>
        <a:bodyPr/>
        <a:lstStyle/>
        <a:p>
          <a:r>
            <a:rPr lang="fr-FR" sz="1200"/>
            <a:t>Sous classe: </a:t>
          </a:r>
          <a:r>
            <a:rPr lang="fr-FR" sz="1200" b="1"/>
            <a:t>62.02.A</a:t>
          </a:r>
        </a:p>
      </dgm:t>
    </dgm:pt>
    <dgm:pt modelId="{78A3DE69-A58E-411D-85DA-E7861C9AE3FD}" type="parTrans" cxnId="{15341968-10B2-4E94-AAA9-DE6E64831679}">
      <dgm:prSet/>
      <dgm:spPr/>
      <dgm:t>
        <a:bodyPr/>
        <a:lstStyle/>
        <a:p>
          <a:endParaRPr lang="fr-FR"/>
        </a:p>
      </dgm:t>
    </dgm:pt>
    <dgm:pt modelId="{99CD4DD6-8E73-4379-AC22-E26DF693DAE8}" type="sibTrans" cxnId="{15341968-10B2-4E94-AAA9-DE6E64831679}">
      <dgm:prSet/>
      <dgm:spPr/>
      <dgm:t>
        <a:bodyPr/>
        <a:lstStyle/>
        <a:p>
          <a:endParaRPr lang="fr-FR"/>
        </a:p>
      </dgm:t>
    </dgm:pt>
    <dgm:pt modelId="{E7FD1F1D-3C12-4D7B-8123-D23F0A70795E}">
      <dgm:prSet phldrT="[Texte]" custT="1"/>
      <dgm:spPr/>
      <dgm:t>
        <a:bodyPr/>
        <a:lstStyle/>
        <a:p>
          <a:r>
            <a:rPr lang="fr-FR" sz="1200"/>
            <a:t>Classe: </a:t>
          </a:r>
          <a:r>
            <a:rPr lang="fr-FR" sz="1200" b="1"/>
            <a:t>62.02</a:t>
          </a:r>
        </a:p>
      </dgm:t>
    </dgm:pt>
    <dgm:pt modelId="{4CA470ED-A7EF-4151-B595-03E3AC7A44FD}" type="parTrans" cxnId="{CEB0023C-E66D-4D66-9599-484E78606FDD}">
      <dgm:prSet/>
      <dgm:spPr/>
      <dgm:t>
        <a:bodyPr/>
        <a:lstStyle/>
        <a:p>
          <a:endParaRPr lang="fr-FR"/>
        </a:p>
      </dgm:t>
    </dgm:pt>
    <dgm:pt modelId="{7FAE8C27-2560-4144-9371-B989659EBE36}" type="sibTrans" cxnId="{CEB0023C-E66D-4D66-9599-484E78606FDD}">
      <dgm:prSet/>
      <dgm:spPr/>
      <dgm:t>
        <a:bodyPr/>
        <a:lstStyle/>
        <a:p>
          <a:endParaRPr lang="fr-FR"/>
        </a:p>
      </dgm:t>
    </dgm:pt>
    <dgm:pt modelId="{48C1D1D2-9209-47C6-B51A-25C1BA543224}">
      <dgm:prSet phldrT="[Texte]" custT="1"/>
      <dgm:spPr/>
      <dgm:t>
        <a:bodyPr/>
        <a:lstStyle/>
        <a:p>
          <a:r>
            <a:rPr lang="fr-FR" sz="1200" b="0" i="0"/>
            <a:t>Programmation, conseil et autres activités informatiques</a:t>
          </a:r>
          <a:endParaRPr lang="fr-FR" sz="1200" b="0"/>
        </a:p>
      </dgm:t>
    </dgm:pt>
    <dgm:pt modelId="{37F26413-3101-4A87-A285-0DF2B7CC5D0B}" type="parTrans" cxnId="{810542F8-E5A0-4B02-AC0C-D8E0E3E9F233}">
      <dgm:prSet/>
      <dgm:spPr/>
      <dgm:t>
        <a:bodyPr/>
        <a:lstStyle/>
        <a:p>
          <a:endParaRPr lang="fr-FR"/>
        </a:p>
      </dgm:t>
    </dgm:pt>
    <dgm:pt modelId="{4041B0B6-6C88-4FD5-9E0A-6C17D136CB5C}" type="sibTrans" cxnId="{810542F8-E5A0-4B02-AC0C-D8E0E3E9F233}">
      <dgm:prSet/>
      <dgm:spPr/>
      <dgm:t>
        <a:bodyPr/>
        <a:lstStyle/>
        <a:p>
          <a:endParaRPr lang="fr-FR"/>
        </a:p>
      </dgm:t>
    </dgm:pt>
    <dgm:pt modelId="{08CCD6A0-D3F5-4E6D-B883-1B4C766FF124}">
      <dgm:prSet phldrT="[Texte]" custT="1"/>
      <dgm:spPr/>
      <dgm:t>
        <a:bodyPr/>
        <a:lstStyle/>
        <a:p>
          <a:r>
            <a:rPr lang="fr-FR" sz="1200" b="0" i="0"/>
            <a:t>Conseil informatique</a:t>
          </a:r>
          <a:endParaRPr lang="fr-FR" sz="1200" b="0"/>
        </a:p>
      </dgm:t>
    </dgm:pt>
    <dgm:pt modelId="{5BAC653A-8AF9-4749-9C56-BEA958C11A43}" type="parTrans" cxnId="{93DE7DE0-3558-4B87-87AA-65BB09B5F2EA}">
      <dgm:prSet/>
      <dgm:spPr/>
      <dgm:t>
        <a:bodyPr/>
        <a:lstStyle/>
        <a:p>
          <a:endParaRPr lang="fr-FR"/>
        </a:p>
      </dgm:t>
    </dgm:pt>
    <dgm:pt modelId="{8FBD15C8-FD2F-4BDE-93F7-EBC3156A8F67}" type="sibTrans" cxnId="{93DE7DE0-3558-4B87-87AA-65BB09B5F2EA}">
      <dgm:prSet/>
      <dgm:spPr/>
      <dgm:t>
        <a:bodyPr/>
        <a:lstStyle/>
        <a:p>
          <a:endParaRPr lang="fr-FR"/>
        </a:p>
      </dgm:t>
    </dgm:pt>
    <dgm:pt modelId="{1B3FEF6E-A623-47DA-BB04-913A3DA819E0}">
      <dgm:prSet phldrT="[Texte]" custT="1"/>
      <dgm:spPr/>
      <dgm:t>
        <a:bodyPr/>
        <a:lstStyle/>
        <a:p>
          <a:pPr algn="l"/>
          <a:r>
            <a:rPr lang="fr-FR" sz="1200" b="0" i="0"/>
            <a:t>Conseil en systèmes et logiciels informatiques</a:t>
          </a:r>
          <a:endParaRPr lang="fr-FR" sz="1200" b="0"/>
        </a:p>
      </dgm:t>
    </dgm:pt>
    <dgm:pt modelId="{91A94F2A-DB26-4DF0-B41F-7725AC5C3C41}" type="parTrans" cxnId="{22BFC048-713E-4ED9-B073-DC08B423444E}">
      <dgm:prSet/>
      <dgm:spPr/>
      <dgm:t>
        <a:bodyPr/>
        <a:lstStyle/>
        <a:p>
          <a:endParaRPr lang="fr-FR"/>
        </a:p>
      </dgm:t>
    </dgm:pt>
    <dgm:pt modelId="{D50D824F-D762-40D0-9D6B-6EEC86BEA12A}" type="sibTrans" cxnId="{22BFC048-713E-4ED9-B073-DC08B423444E}">
      <dgm:prSet/>
      <dgm:spPr/>
      <dgm:t>
        <a:bodyPr/>
        <a:lstStyle/>
        <a:p>
          <a:endParaRPr lang="fr-FR"/>
        </a:p>
      </dgm:t>
    </dgm:pt>
    <dgm:pt modelId="{7DEB3BAE-96F8-44AA-8DEB-63D69B65074E}" type="pres">
      <dgm:prSet presAssocID="{7CC7FCAA-0BF9-4DF9-AC30-8F04DE1A78F7}" presName="Name0" presStyleCnt="0">
        <dgm:presLayoutVars>
          <dgm:dir/>
          <dgm:animLvl val="lvl"/>
          <dgm:resizeHandles val="exact"/>
        </dgm:presLayoutVars>
      </dgm:prSet>
      <dgm:spPr/>
      <dgm:t>
        <a:bodyPr/>
        <a:lstStyle/>
        <a:p>
          <a:endParaRPr lang="fr-FR"/>
        </a:p>
      </dgm:t>
    </dgm:pt>
    <dgm:pt modelId="{1B94BC94-BCBD-406E-825F-0BBE57533E49}" type="pres">
      <dgm:prSet presAssocID="{DD955BB4-6475-4DB8-A50C-E54FD3961FD9}" presName="linNode" presStyleCnt="0"/>
      <dgm:spPr/>
    </dgm:pt>
    <dgm:pt modelId="{9D2F98C0-1C1C-4D51-9696-3779E8005A09}" type="pres">
      <dgm:prSet presAssocID="{DD955BB4-6475-4DB8-A50C-E54FD3961FD9}" presName="parentText" presStyleLbl="node1" presStyleIdx="0" presStyleCnt="5" custScaleX="73437">
        <dgm:presLayoutVars>
          <dgm:chMax val="1"/>
          <dgm:bulletEnabled val="1"/>
        </dgm:presLayoutVars>
      </dgm:prSet>
      <dgm:spPr/>
      <dgm:t>
        <a:bodyPr/>
        <a:lstStyle/>
        <a:p>
          <a:endParaRPr lang="fr-FR"/>
        </a:p>
      </dgm:t>
    </dgm:pt>
    <dgm:pt modelId="{2B3E1373-76DE-42D9-8F9A-537620C1079C}" type="pres">
      <dgm:prSet presAssocID="{DD955BB4-6475-4DB8-A50C-E54FD3961FD9}" presName="descendantText" presStyleLbl="alignAccFollowNode1" presStyleIdx="0" presStyleCnt="5" custScaleX="110150">
        <dgm:presLayoutVars>
          <dgm:bulletEnabled val="1"/>
        </dgm:presLayoutVars>
      </dgm:prSet>
      <dgm:spPr/>
      <dgm:t>
        <a:bodyPr/>
        <a:lstStyle/>
        <a:p>
          <a:endParaRPr lang="fr-FR"/>
        </a:p>
      </dgm:t>
    </dgm:pt>
    <dgm:pt modelId="{452792D1-99A3-4588-8711-25BAB8E2ED92}" type="pres">
      <dgm:prSet presAssocID="{13F0C066-0A94-4D55-90B6-DA5CE68CC76E}" presName="sp" presStyleCnt="0"/>
      <dgm:spPr/>
    </dgm:pt>
    <dgm:pt modelId="{8C2C098C-4E85-47BD-A3FA-904E8A93FF75}" type="pres">
      <dgm:prSet presAssocID="{FC756F5C-05EC-4C19-A5B9-A377A418CD66}" presName="linNode" presStyleCnt="0"/>
      <dgm:spPr/>
    </dgm:pt>
    <dgm:pt modelId="{AE874309-08C3-45D4-8E64-908BF791F36E}" type="pres">
      <dgm:prSet presAssocID="{FC756F5C-05EC-4C19-A5B9-A377A418CD66}" presName="parentText" presStyleLbl="node1" presStyleIdx="1" presStyleCnt="5" custScaleX="73437">
        <dgm:presLayoutVars>
          <dgm:chMax val="1"/>
          <dgm:bulletEnabled val="1"/>
        </dgm:presLayoutVars>
      </dgm:prSet>
      <dgm:spPr/>
      <dgm:t>
        <a:bodyPr/>
        <a:lstStyle/>
        <a:p>
          <a:endParaRPr lang="fr-FR"/>
        </a:p>
      </dgm:t>
    </dgm:pt>
    <dgm:pt modelId="{9E35A64B-BF37-43F1-B661-58F19E77D976}" type="pres">
      <dgm:prSet presAssocID="{FC756F5C-05EC-4C19-A5B9-A377A418CD66}" presName="descendantText" presStyleLbl="alignAccFollowNode1" presStyleIdx="1" presStyleCnt="5" custScaleX="110150">
        <dgm:presLayoutVars>
          <dgm:bulletEnabled val="1"/>
        </dgm:presLayoutVars>
      </dgm:prSet>
      <dgm:spPr/>
      <dgm:t>
        <a:bodyPr/>
        <a:lstStyle/>
        <a:p>
          <a:endParaRPr lang="fr-FR"/>
        </a:p>
      </dgm:t>
    </dgm:pt>
    <dgm:pt modelId="{BB6EE966-1F49-487D-B62C-D0FF044E7720}" type="pres">
      <dgm:prSet presAssocID="{AD90D8D3-243D-48FA-905B-FF3B7BC77B78}" presName="sp" presStyleCnt="0"/>
      <dgm:spPr/>
    </dgm:pt>
    <dgm:pt modelId="{5B971D78-F299-4D63-8741-CD4E4595A803}" type="pres">
      <dgm:prSet presAssocID="{09847663-ECFD-4973-B435-543EE830B357}" presName="linNode" presStyleCnt="0"/>
      <dgm:spPr/>
    </dgm:pt>
    <dgm:pt modelId="{1185000B-75F9-4F47-AB75-20CEFB9C71C9}" type="pres">
      <dgm:prSet presAssocID="{09847663-ECFD-4973-B435-543EE830B357}" presName="parentText" presStyleLbl="node1" presStyleIdx="2" presStyleCnt="5" custScaleX="73437">
        <dgm:presLayoutVars>
          <dgm:chMax val="1"/>
          <dgm:bulletEnabled val="1"/>
        </dgm:presLayoutVars>
      </dgm:prSet>
      <dgm:spPr/>
      <dgm:t>
        <a:bodyPr/>
        <a:lstStyle/>
        <a:p>
          <a:endParaRPr lang="fr-FR"/>
        </a:p>
      </dgm:t>
    </dgm:pt>
    <dgm:pt modelId="{F98E0FC9-1E26-4491-A7D6-3B2D0328DF7E}" type="pres">
      <dgm:prSet presAssocID="{09847663-ECFD-4973-B435-543EE830B357}" presName="descendantText" presStyleLbl="alignAccFollowNode1" presStyleIdx="2" presStyleCnt="5" custScaleX="110150">
        <dgm:presLayoutVars>
          <dgm:bulletEnabled val="1"/>
        </dgm:presLayoutVars>
      </dgm:prSet>
      <dgm:spPr/>
      <dgm:t>
        <a:bodyPr/>
        <a:lstStyle/>
        <a:p>
          <a:endParaRPr lang="fr-FR"/>
        </a:p>
      </dgm:t>
    </dgm:pt>
    <dgm:pt modelId="{608EED56-93F0-4F37-B3C9-E668D77B1B2D}" type="pres">
      <dgm:prSet presAssocID="{15EBC1D6-9BF8-4120-BFC3-313DAE536BCC}" presName="sp" presStyleCnt="0"/>
      <dgm:spPr/>
    </dgm:pt>
    <dgm:pt modelId="{471BD385-00E5-43CD-9CF8-A8C4A66F8A7D}" type="pres">
      <dgm:prSet presAssocID="{E7FD1F1D-3C12-4D7B-8123-D23F0A70795E}" presName="linNode" presStyleCnt="0"/>
      <dgm:spPr/>
    </dgm:pt>
    <dgm:pt modelId="{B28BEC03-4BF7-4C95-80D5-52DD8DA291F5}" type="pres">
      <dgm:prSet presAssocID="{E7FD1F1D-3C12-4D7B-8123-D23F0A70795E}" presName="parentText" presStyleLbl="node1" presStyleIdx="3" presStyleCnt="5" custScaleX="73437">
        <dgm:presLayoutVars>
          <dgm:chMax val="1"/>
          <dgm:bulletEnabled val="1"/>
        </dgm:presLayoutVars>
      </dgm:prSet>
      <dgm:spPr/>
      <dgm:t>
        <a:bodyPr/>
        <a:lstStyle/>
        <a:p>
          <a:endParaRPr lang="fr-FR"/>
        </a:p>
      </dgm:t>
    </dgm:pt>
    <dgm:pt modelId="{95071F27-0411-437D-A0DA-7915161148D2}" type="pres">
      <dgm:prSet presAssocID="{E7FD1F1D-3C12-4D7B-8123-D23F0A70795E}" presName="descendantText" presStyleLbl="alignAccFollowNode1" presStyleIdx="3" presStyleCnt="5" custScaleX="110150">
        <dgm:presLayoutVars>
          <dgm:bulletEnabled val="1"/>
        </dgm:presLayoutVars>
      </dgm:prSet>
      <dgm:spPr/>
      <dgm:t>
        <a:bodyPr/>
        <a:lstStyle/>
        <a:p>
          <a:endParaRPr lang="fr-FR"/>
        </a:p>
      </dgm:t>
    </dgm:pt>
    <dgm:pt modelId="{E0404A28-7840-4D74-8AA7-E686864F3C17}" type="pres">
      <dgm:prSet presAssocID="{7FAE8C27-2560-4144-9371-B989659EBE36}" presName="sp" presStyleCnt="0"/>
      <dgm:spPr/>
    </dgm:pt>
    <dgm:pt modelId="{8E88440D-B858-4411-B5D5-97979E34C55E}" type="pres">
      <dgm:prSet presAssocID="{B6D3EF0F-AE8C-4683-8F45-92A5DB1E2EB2}" presName="linNode" presStyleCnt="0"/>
      <dgm:spPr/>
    </dgm:pt>
    <dgm:pt modelId="{360C7631-F353-4390-9712-636E68DC660D}" type="pres">
      <dgm:prSet presAssocID="{B6D3EF0F-AE8C-4683-8F45-92A5DB1E2EB2}" presName="parentText" presStyleLbl="node1" presStyleIdx="4" presStyleCnt="5" custScaleX="73437">
        <dgm:presLayoutVars>
          <dgm:chMax val="1"/>
          <dgm:bulletEnabled val="1"/>
        </dgm:presLayoutVars>
      </dgm:prSet>
      <dgm:spPr/>
      <dgm:t>
        <a:bodyPr/>
        <a:lstStyle/>
        <a:p>
          <a:endParaRPr lang="fr-FR"/>
        </a:p>
      </dgm:t>
    </dgm:pt>
    <dgm:pt modelId="{CBA3D403-0F29-444D-B318-821514144C30}" type="pres">
      <dgm:prSet presAssocID="{B6D3EF0F-AE8C-4683-8F45-92A5DB1E2EB2}" presName="descendantText" presStyleLbl="alignAccFollowNode1" presStyleIdx="4" presStyleCnt="5" custScaleX="110150">
        <dgm:presLayoutVars>
          <dgm:bulletEnabled val="1"/>
        </dgm:presLayoutVars>
      </dgm:prSet>
      <dgm:spPr/>
      <dgm:t>
        <a:bodyPr/>
        <a:lstStyle/>
        <a:p>
          <a:endParaRPr lang="fr-FR"/>
        </a:p>
      </dgm:t>
    </dgm:pt>
  </dgm:ptLst>
  <dgm:cxnLst>
    <dgm:cxn modelId="{28096E60-D4E5-467E-AC91-B6C8BCE78A3E}" type="presOf" srcId="{DD955BB4-6475-4DB8-A50C-E54FD3961FD9}" destId="{9D2F98C0-1C1C-4D51-9696-3779E8005A09}" srcOrd="0" destOrd="0" presId="urn:microsoft.com/office/officeart/2005/8/layout/vList5"/>
    <dgm:cxn modelId="{810542F8-E5A0-4B02-AC0C-D8E0E3E9F233}" srcId="{09847663-ECFD-4973-B435-543EE830B357}" destId="{48C1D1D2-9209-47C6-B51A-25C1BA543224}" srcOrd="0" destOrd="0" parTransId="{37F26413-3101-4A87-A285-0DF2B7CC5D0B}" sibTransId="{4041B0B6-6C88-4FD5-9E0A-6C17D136CB5C}"/>
    <dgm:cxn modelId="{72468A1C-35E0-4A28-A223-EDC087589ED6}" type="presOf" srcId="{7518DB72-F0C4-4B4D-A7EA-A1D2FF0C1238}" destId="{9E35A64B-BF37-43F1-B661-58F19E77D976}" srcOrd="0" destOrd="0" presId="urn:microsoft.com/office/officeart/2005/8/layout/vList5"/>
    <dgm:cxn modelId="{0B8E615F-2D38-451E-95D2-D1336175DABA}" type="presOf" srcId="{2AFBCA29-63B7-4FFD-99A3-D6C862022AAA}" destId="{2B3E1373-76DE-42D9-8F9A-537620C1079C}" srcOrd="0" destOrd="0" presId="urn:microsoft.com/office/officeart/2005/8/layout/vList5"/>
    <dgm:cxn modelId="{184B5A38-A027-4E9F-912D-C692491BE521}" type="presOf" srcId="{B6D3EF0F-AE8C-4683-8F45-92A5DB1E2EB2}" destId="{360C7631-F353-4390-9712-636E68DC660D}" srcOrd="0" destOrd="0" presId="urn:microsoft.com/office/officeart/2005/8/layout/vList5"/>
    <dgm:cxn modelId="{22BFC048-713E-4ED9-B073-DC08B423444E}" srcId="{B6D3EF0F-AE8C-4683-8F45-92A5DB1E2EB2}" destId="{1B3FEF6E-A623-47DA-BB04-913A3DA819E0}" srcOrd="0" destOrd="0" parTransId="{91A94F2A-DB26-4DF0-B41F-7725AC5C3C41}" sibTransId="{D50D824F-D762-40D0-9D6B-6EEC86BEA12A}"/>
    <dgm:cxn modelId="{85DDE7A3-A0B4-40C5-87B2-88411649C005}" type="presOf" srcId="{E7FD1F1D-3C12-4D7B-8123-D23F0A70795E}" destId="{B28BEC03-4BF7-4C95-80D5-52DD8DA291F5}" srcOrd="0" destOrd="0" presId="urn:microsoft.com/office/officeart/2005/8/layout/vList5"/>
    <dgm:cxn modelId="{F0E8546B-FE7C-4863-9EE0-B5883ABA70B5}" type="presOf" srcId="{1B3FEF6E-A623-47DA-BB04-913A3DA819E0}" destId="{CBA3D403-0F29-444D-B318-821514144C30}" srcOrd="0" destOrd="0" presId="urn:microsoft.com/office/officeart/2005/8/layout/vList5"/>
    <dgm:cxn modelId="{93DE7DE0-3558-4B87-87AA-65BB09B5F2EA}" srcId="{E7FD1F1D-3C12-4D7B-8123-D23F0A70795E}" destId="{08CCD6A0-D3F5-4E6D-B883-1B4C766FF124}" srcOrd="0" destOrd="0" parTransId="{5BAC653A-8AF9-4749-9C56-BEA958C11A43}" sibTransId="{8FBD15C8-FD2F-4BDE-93F7-EBC3156A8F67}"/>
    <dgm:cxn modelId="{2EEEEC80-DD76-4B09-B11F-490471F3A38F}" type="presOf" srcId="{09847663-ECFD-4973-B435-543EE830B357}" destId="{1185000B-75F9-4F47-AB75-20CEFB9C71C9}" srcOrd="0" destOrd="0" presId="urn:microsoft.com/office/officeart/2005/8/layout/vList5"/>
    <dgm:cxn modelId="{5A075360-91A4-44CB-9346-FA323BA1CA96}" type="presOf" srcId="{48C1D1D2-9209-47C6-B51A-25C1BA543224}" destId="{F98E0FC9-1E26-4491-A7D6-3B2D0328DF7E}" srcOrd="0" destOrd="0" presId="urn:microsoft.com/office/officeart/2005/8/layout/vList5"/>
    <dgm:cxn modelId="{B4C47DAC-0002-4B2B-956C-56F21E93D497}" srcId="{FC756F5C-05EC-4C19-A5B9-A377A418CD66}" destId="{7518DB72-F0C4-4B4D-A7EA-A1D2FF0C1238}" srcOrd="0" destOrd="0" parTransId="{9C876C29-49BF-4D1A-8F78-3286B817FE3C}" sibTransId="{272EB0F1-4F0B-4921-A2E5-9A843136EBBF}"/>
    <dgm:cxn modelId="{A4CF8820-CAF7-42DE-80DA-DAD543EB9F3B}" type="presOf" srcId="{08CCD6A0-D3F5-4E6D-B883-1B4C766FF124}" destId="{95071F27-0411-437D-A0DA-7915161148D2}" srcOrd="0" destOrd="0" presId="urn:microsoft.com/office/officeart/2005/8/layout/vList5"/>
    <dgm:cxn modelId="{B30B1438-6139-4AF7-ADBB-A7097AA35067}" type="presOf" srcId="{7CC7FCAA-0BF9-4DF9-AC30-8F04DE1A78F7}" destId="{7DEB3BAE-96F8-44AA-8DEB-63D69B65074E}" srcOrd="0" destOrd="0" presId="urn:microsoft.com/office/officeart/2005/8/layout/vList5"/>
    <dgm:cxn modelId="{CD961B21-EB78-4E33-BA54-DC9BDC767FE7}" srcId="{7CC7FCAA-0BF9-4DF9-AC30-8F04DE1A78F7}" destId="{09847663-ECFD-4973-B435-543EE830B357}" srcOrd="2" destOrd="0" parTransId="{B9DF5125-2D73-45F2-8BDC-F60900542446}" sibTransId="{15EBC1D6-9BF8-4120-BFC3-313DAE536BCC}"/>
    <dgm:cxn modelId="{E89A5099-1D3D-4914-90B6-1967654CAA5F}" srcId="{DD955BB4-6475-4DB8-A50C-E54FD3961FD9}" destId="{2AFBCA29-63B7-4FFD-99A3-D6C862022AAA}" srcOrd="0" destOrd="0" parTransId="{2275DFC3-47B5-41D5-9CD1-588F8094EE53}" sibTransId="{9B4D0D28-068F-463E-999D-D6D4FCF0E2F4}"/>
    <dgm:cxn modelId="{E6D0D095-519E-46D8-A97F-98DD303F58A2}" type="presOf" srcId="{FC756F5C-05EC-4C19-A5B9-A377A418CD66}" destId="{AE874309-08C3-45D4-8E64-908BF791F36E}" srcOrd="0" destOrd="0" presId="urn:microsoft.com/office/officeart/2005/8/layout/vList5"/>
    <dgm:cxn modelId="{CEB0023C-E66D-4D66-9599-484E78606FDD}" srcId="{7CC7FCAA-0BF9-4DF9-AC30-8F04DE1A78F7}" destId="{E7FD1F1D-3C12-4D7B-8123-D23F0A70795E}" srcOrd="3" destOrd="0" parTransId="{4CA470ED-A7EF-4151-B595-03E3AC7A44FD}" sibTransId="{7FAE8C27-2560-4144-9371-B989659EBE36}"/>
    <dgm:cxn modelId="{D6334286-FDB5-4AE9-A0CC-95ADBC8A9F40}" srcId="{7CC7FCAA-0BF9-4DF9-AC30-8F04DE1A78F7}" destId="{DD955BB4-6475-4DB8-A50C-E54FD3961FD9}" srcOrd="0" destOrd="0" parTransId="{8EE3CE9C-7282-4E5E-9FFF-A6F26A362650}" sibTransId="{13F0C066-0A94-4D55-90B6-DA5CE68CC76E}"/>
    <dgm:cxn modelId="{FC4FAF77-A529-471A-8AF7-4DBE787EE474}" srcId="{7CC7FCAA-0BF9-4DF9-AC30-8F04DE1A78F7}" destId="{FC756F5C-05EC-4C19-A5B9-A377A418CD66}" srcOrd="1" destOrd="0" parTransId="{490977DE-6AE3-4838-96D5-21E4E62C9BE8}" sibTransId="{AD90D8D3-243D-48FA-905B-FF3B7BC77B78}"/>
    <dgm:cxn modelId="{15341968-10B2-4E94-AAA9-DE6E64831679}" srcId="{7CC7FCAA-0BF9-4DF9-AC30-8F04DE1A78F7}" destId="{B6D3EF0F-AE8C-4683-8F45-92A5DB1E2EB2}" srcOrd="4" destOrd="0" parTransId="{78A3DE69-A58E-411D-85DA-E7861C9AE3FD}" sibTransId="{99CD4DD6-8E73-4379-AC22-E26DF693DAE8}"/>
    <dgm:cxn modelId="{FA613986-113A-40F8-B7D7-F7F4A3EC6480}" type="presParOf" srcId="{7DEB3BAE-96F8-44AA-8DEB-63D69B65074E}" destId="{1B94BC94-BCBD-406E-825F-0BBE57533E49}" srcOrd="0" destOrd="0" presId="urn:microsoft.com/office/officeart/2005/8/layout/vList5"/>
    <dgm:cxn modelId="{2CFA0617-E6FC-4856-A2F6-38BBA6EC4A20}" type="presParOf" srcId="{1B94BC94-BCBD-406E-825F-0BBE57533E49}" destId="{9D2F98C0-1C1C-4D51-9696-3779E8005A09}" srcOrd="0" destOrd="0" presId="urn:microsoft.com/office/officeart/2005/8/layout/vList5"/>
    <dgm:cxn modelId="{29DABCCD-2CEF-4E10-982E-E62B75F2B347}" type="presParOf" srcId="{1B94BC94-BCBD-406E-825F-0BBE57533E49}" destId="{2B3E1373-76DE-42D9-8F9A-537620C1079C}" srcOrd="1" destOrd="0" presId="urn:microsoft.com/office/officeart/2005/8/layout/vList5"/>
    <dgm:cxn modelId="{FF2DBD76-4EAE-4937-AB0A-55CDAD6848BA}" type="presParOf" srcId="{7DEB3BAE-96F8-44AA-8DEB-63D69B65074E}" destId="{452792D1-99A3-4588-8711-25BAB8E2ED92}" srcOrd="1" destOrd="0" presId="urn:microsoft.com/office/officeart/2005/8/layout/vList5"/>
    <dgm:cxn modelId="{8179E166-7682-4088-90A2-CBFC68455E59}" type="presParOf" srcId="{7DEB3BAE-96F8-44AA-8DEB-63D69B65074E}" destId="{8C2C098C-4E85-47BD-A3FA-904E8A93FF75}" srcOrd="2" destOrd="0" presId="urn:microsoft.com/office/officeart/2005/8/layout/vList5"/>
    <dgm:cxn modelId="{B0AB73DF-639C-4C2D-B4A9-AF8C48009830}" type="presParOf" srcId="{8C2C098C-4E85-47BD-A3FA-904E8A93FF75}" destId="{AE874309-08C3-45D4-8E64-908BF791F36E}" srcOrd="0" destOrd="0" presId="urn:microsoft.com/office/officeart/2005/8/layout/vList5"/>
    <dgm:cxn modelId="{58E18250-2BC4-4041-979C-96CF555EB728}" type="presParOf" srcId="{8C2C098C-4E85-47BD-A3FA-904E8A93FF75}" destId="{9E35A64B-BF37-43F1-B661-58F19E77D976}" srcOrd="1" destOrd="0" presId="urn:microsoft.com/office/officeart/2005/8/layout/vList5"/>
    <dgm:cxn modelId="{F4E58E2E-BD02-49A7-B1C8-4A75B3A0331E}" type="presParOf" srcId="{7DEB3BAE-96F8-44AA-8DEB-63D69B65074E}" destId="{BB6EE966-1F49-487D-B62C-D0FF044E7720}" srcOrd="3" destOrd="0" presId="urn:microsoft.com/office/officeart/2005/8/layout/vList5"/>
    <dgm:cxn modelId="{3EDF1EC9-B6B8-404E-A863-E131911A0477}" type="presParOf" srcId="{7DEB3BAE-96F8-44AA-8DEB-63D69B65074E}" destId="{5B971D78-F299-4D63-8741-CD4E4595A803}" srcOrd="4" destOrd="0" presId="urn:microsoft.com/office/officeart/2005/8/layout/vList5"/>
    <dgm:cxn modelId="{22B2FB79-B954-431E-8DB1-4CE1DEE2525D}" type="presParOf" srcId="{5B971D78-F299-4D63-8741-CD4E4595A803}" destId="{1185000B-75F9-4F47-AB75-20CEFB9C71C9}" srcOrd="0" destOrd="0" presId="urn:microsoft.com/office/officeart/2005/8/layout/vList5"/>
    <dgm:cxn modelId="{1F7A6B6E-E79F-468B-A086-740157CF1DC8}" type="presParOf" srcId="{5B971D78-F299-4D63-8741-CD4E4595A803}" destId="{F98E0FC9-1E26-4491-A7D6-3B2D0328DF7E}" srcOrd="1" destOrd="0" presId="urn:microsoft.com/office/officeart/2005/8/layout/vList5"/>
    <dgm:cxn modelId="{1A566AA4-EB58-4293-842A-8FFA7476244F}" type="presParOf" srcId="{7DEB3BAE-96F8-44AA-8DEB-63D69B65074E}" destId="{608EED56-93F0-4F37-B3C9-E668D77B1B2D}" srcOrd="5" destOrd="0" presId="urn:microsoft.com/office/officeart/2005/8/layout/vList5"/>
    <dgm:cxn modelId="{5B161E77-BC98-490E-83AB-9BAFB83097AB}" type="presParOf" srcId="{7DEB3BAE-96F8-44AA-8DEB-63D69B65074E}" destId="{471BD385-00E5-43CD-9CF8-A8C4A66F8A7D}" srcOrd="6" destOrd="0" presId="urn:microsoft.com/office/officeart/2005/8/layout/vList5"/>
    <dgm:cxn modelId="{FB652C56-A7A9-4514-8DB6-9DEC155F9A85}" type="presParOf" srcId="{471BD385-00E5-43CD-9CF8-A8C4A66F8A7D}" destId="{B28BEC03-4BF7-4C95-80D5-52DD8DA291F5}" srcOrd="0" destOrd="0" presId="urn:microsoft.com/office/officeart/2005/8/layout/vList5"/>
    <dgm:cxn modelId="{D5E5BAF1-EF89-40CB-BA22-948D0C982361}" type="presParOf" srcId="{471BD385-00E5-43CD-9CF8-A8C4A66F8A7D}" destId="{95071F27-0411-437D-A0DA-7915161148D2}" srcOrd="1" destOrd="0" presId="urn:microsoft.com/office/officeart/2005/8/layout/vList5"/>
    <dgm:cxn modelId="{30581F8E-BD8D-40CC-8586-A63D6529D115}" type="presParOf" srcId="{7DEB3BAE-96F8-44AA-8DEB-63D69B65074E}" destId="{E0404A28-7840-4D74-8AA7-E686864F3C17}" srcOrd="7" destOrd="0" presId="urn:microsoft.com/office/officeart/2005/8/layout/vList5"/>
    <dgm:cxn modelId="{601E8F95-33E4-407D-977C-0ED6B8172B09}" type="presParOf" srcId="{7DEB3BAE-96F8-44AA-8DEB-63D69B65074E}" destId="{8E88440D-B858-4411-B5D5-97979E34C55E}" srcOrd="8" destOrd="0" presId="urn:microsoft.com/office/officeart/2005/8/layout/vList5"/>
    <dgm:cxn modelId="{E65BC9C4-D617-4E3B-98CD-7E8692B7718A}" type="presParOf" srcId="{8E88440D-B858-4411-B5D5-97979E34C55E}" destId="{360C7631-F353-4390-9712-636E68DC660D}" srcOrd="0" destOrd="0" presId="urn:microsoft.com/office/officeart/2005/8/layout/vList5"/>
    <dgm:cxn modelId="{1063C752-3912-426E-B130-463216C0C0BB}" type="presParOf" srcId="{8E88440D-B858-4411-B5D5-97979E34C55E}" destId="{CBA3D403-0F29-444D-B318-821514144C30}"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E1373-76DE-42D9-8F9A-537620C1079C}">
      <dsp:nvSpPr>
        <dsp:cNvPr id="0" name=""/>
        <dsp:cNvSpPr/>
      </dsp:nvSpPr>
      <dsp:spPr>
        <a:xfrm rot="5400000">
          <a:off x="3631060" y="-1930891"/>
          <a:ext cx="268222" cy="4198595"/>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b="0" i="0" kern="1200"/>
            <a:t>Information et communication</a:t>
          </a:r>
          <a:endParaRPr lang="fr-FR" sz="1200" b="0" kern="1200"/>
        </a:p>
      </dsp:txBody>
      <dsp:txXfrm rot="-5400000">
        <a:off x="1665874" y="47389"/>
        <a:ext cx="4185501" cy="242034"/>
      </dsp:txXfrm>
    </dsp:sp>
    <dsp:sp modelId="{9D2F98C0-1C1C-4D51-9696-3779E8005A09}">
      <dsp:nvSpPr>
        <dsp:cNvPr id="0" name=""/>
        <dsp:cNvSpPr/>
      </dsp:nvSpPr>
      <dsp:spPr>
        <a:xfrm>
          <a:off x="91322" y="766"/>
          <a:ext cx="1574551" cy="33527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fr-FR" sz="1200" kern="1200"/>
            <a:t>Section</a:t>
          </a:r>
          <a:r>
            <a:rPr lang="fr-FR" sz="1200" b="1" kern="1200"/>
            <a:t>: J</a:t>
          </a:r>
        </a:p>
      </dsp:txBody>
      <dsp:txXfrm>
        <a:off x="107689" y="17133"/>
        <a:ext cx="1541817" cy="302544"/>
      </dsp:txXfrm>
    </dsp:sp>
    <dsp:sp modelId="{9E35A64B-BF37-43F1-B661-58F19E77D976}">
      <dsp:nvSpPr>
        <dsp:cNvPr id="0" name=""/>
        <dsp:cNvSpPr/>
      </dsp:nvSpPr>
      <dsp:spPr>
        <a:xfrm rot="5400000">
          <a:off x="3631060" y="-1578849"/>
          <a:ext cx="268222" cy="4198595"/>
        </a:xfrm>
        <a:prstGeom prst="round2Same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b="0" i="0" kern="1200"/>
            <a:t>Programmation, conseil et autres activités informatiques</a:t>
          </a:r>
          <a:endParaRPr lang="fr-FR" sz="1200" b="0" kern="1200"/>
        </a:p>
      </dsp:txBody>
      <dsp:txXfrm rot="-5400000">
        <a:off x="1665874" y="399431"/>
        <a:ext cx="4185501" cy="242034"/>
      </dsp:txXfrm>
    </dsp:sp>
    <dsp:sp modelId="{AE874309-08C3-45D4-8E64-908BF791F36E}">
      <dsp:nvSpPr>
        <dsp:cNvPr id="0" name=""/>
        <dsp:cNvSpPr/>
      </dsp:nvSpPr>
      <dsp:spPr>
        <a:xfrm>
          <a:off x="91322" y="352808"/>
          <a:ext cx="1574551" cy="33527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fr-FR" sz="1200" kern="1200"/>
            <a:t>Division: </a:t>
          </a:r>
          <a:r>
            <a:rPr lang="fr-FR" sz="1200" b="1" kern="1200"/>
            <a:t>62</a:t>
          </a:r>
        </a:p>
      </dsp:txBody>
      <dsp:txXfrm>
        <a:off x="107689" y="369175"/>
        <a:ext cx="1541817" cy="302544"/>
      </dsp:txXfrm>
    </dsp:sp>
    <dsp:sp modelId="{F98E0FC9-1E26-4491-A7D6-3B2D0328DF7E}">
      <dsp:nvSpPr>
        <dsp:cNvPr id="0" name=""/>
        <dsp:cNvSpPr/>
      </dsp:nvSpPr>
      <dsp:spPr>
        <a:xfrm rot="5400000">
          <a:off x="3631060" y="-1226807"/>
          <a:ext cx="268222" cy="4198595"/>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b="0" i="0" kern="1200"/>
            <a:t>Programmation, conseil et autres activités informatiques</a:t>
          </a:r>
          <a:endParaRPr lang="fr-FR" sz="1200" b="0" kern="1200"/>
        </a:p>
      </dsp:txBody>
      <dsp:txXfrm rot="-5400000">
        <a:off x="1665874" y="751473"/>
        <a:ext cx="4185501" cy="242034"/>
      </dsp:txXfrm>
    </dsp:sp>
    <dsp:sp modelId="{1185000B-75F9-4F47-AB75-20CEFB9C71C9}">
      <dsp:nvSpPr>
        <dsp:cNvPr id="0" name=""/>
        <dsp:cNvSpPr/>
      </dsp:nvSpPr>
      <dsp:spPr>
        <a:xfrm>
          <a:off x="91322" y="704850"/>
          <a:ext cx="1574551" cy="33527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fr-FR" sz="1200" kern="1200"/>
            <a:t>Groupe: </a:t>
          </a:r>
          <a:r>
            <a:rPr lang="fr-FR" sz="1200" b="1" kern="1200"/>
            <a:t>62.0</a:t>
          </a:r>
        </a:p>
      </dsp:txBody>
      <dsp:txXfrm>
        <a:off x="107689" y="721217"/>
        <a:ext cx="1541817" cy="302544"/>
      </dsp:txXfrm>
    </dsp:sp>
    <dsp:sp modelId="{95071F27-0411-437D-A0DA-7915161148D2}">
      <dsp:nvSpPr>
        <dsp:cNvPr id="0" name=""/>
        <dsp:cNvSpPr/>
      </dsp:nvSpPr>
      <dsp:spPr>
        <a:xfrm rot="5400000">
          <a:off x="3631060" y="-874765"/>
          <a:ext cx="268222" cy="4198595"/>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b="0" i="0" kern="1200"/>
            <a:t>Conseil informatique</a:t>
          </a:r>
          <a:endParaRPr lang="fr-FR" sz="1200" b="0" kern="1200"/>
        </a:p>
      </dsp:txBody>
      <dsp:txXfrm rot="-5400000">
        <a:off x="1665874" y="1103515"/>
        <a:ext cx="4185501" cy="242034"/>
      </dsp:txXfrm>
    </dsp:sp>
    <dsp:sp modelId="{B28BEC03-4BF7-4C95-80D5-52DD8DA291F5}">
      <dsp:nvSpPr>
        <dsp:cNvPr id="0" name=""/>
        <dsp:cNvSpPr/>
      </dsp:nvSpPr>
      <dsp:spPr>
        <a:xfrm>
          <a:off x="91322" y="1056892"/>
          <a:ext cx="1574551" cy="3352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fr-FR" sz="1200" kern="1200"/>
            <a:t>Classe: </a:t>
          </a:r>
          <a:r>
            <a:rPr lang="fr-FR" sz="1200" b="1" kern="1200"/>
            <a:t>62.02</a:t>
          </a:r>
        </a:p>
      </dsp:txBody>
      <dsp:txXfrm>
        <a:off x="107689" y="1073259"/>
        <a:ext cx="1541817" cy="302544"/>
      </dsp:txXfrm>
    </dsp:sp>
    <dsp:sp modelId="{CBA3D403-0F29-444D-B318-821514144C30}">
      <dsp:nvSpPr>
        <dsp:cNvPr id="0" name=""/>
        <dsp:cNvSpPr/>
      </dsp:nvSpPr>
      <dsp:spPr>
        <a:xfrm rot="5400000">
          <a:off x="3631060" y="-522723"/>
          <a:ext cx="268222" cy="4198595"/>
        </a:xfrm>
        <a:prstGeom prst="round2Same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b="0" i="0" kern="1200"/>
            <a:t>Conseil en systèmes et logiciels informatiques</a:t>
          </a:r>
          <a:endParaRPr lang="fr-FR" sz="1200" b="0" kern="1200"/>
        </a:p>
      </dsp:txBody>
      <dsp:txXfrm rot="-5400000">
        <a:off x="1665874" y="1455557"/>
        <a:ext cx="4185501" cy="242034"/>
      </dsp:txXfrm>
    </dsp:sp>
    <dsp:sp modelId="{360C7631-F353-4390-9712-636E68DC660D}">
      <dsp:nvSpPr>
        <dsp:cNvPr id="0" name=""/>
        <dsp:cNvSpPr/>
      </dsp:nvSpPr>
      <dsp:spPr>
        <a:xfrm>
          <a:off x="91322" y="1408935"/>
          <a:ext cx="1574551" cy="335278"/>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fr-FR" sz="1200" kern="1200"/>
            <a:t>Sous classe: </a:t>
          </a:r>
          <a:r>
            <a:rPr lang="fr-FR" sz="1200" b="1" kern="1200"/>
            <a:t>62.02.A</a:t>
          </a:r>
        </a:p>
      </dsp:txBody>
      <dsp:txXfrm>
        <a:off x="107689" y="1425302"/>
        <a:ext cx="1541817" cy="30254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C7EF5F198C4527A786A4EB6A2AAB3F"/>
        <w:category>
          <w:name w:val="General"/>
          <w:gallery w:val="placeholder"/>
        </w:category>
        <w:types>
          <w:type w:val="bbPlcHdr"/>
        </w:types>
        <w:behaviors>
          <w:behavior w:val="content"/>
        </w:behaviors>
        <w:guid w:val="{21A80918-FEFF-458B-B776-0A7EE8CC7307}"/>
      </w:docPartPr>
      <w:docPartBody>
        <w:p w:rsidR="00AC5AB1" w:rsidRDefault="00AC5AB1" w:rsidP="00AC5AB1">
          <w:pPr>
            <w:pStyle w:val="EBC7EF5F198C4527A786A4EB6A2AAB3F"/>
          </w:pPr>
          <w:r w:rsidRPr="00BF18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07893"/>
    <w:rsid w:val="00023562"/>
    <w:rsid w:val="00025DCF"/>
    <w:rsid w:val="00035E6E"/>
    <w:rsid w:val="0006488F"/>
    <w:rsid w:val="00077570"/>
    <w:rsid w:val="000E0706"/>
    <w:rsid w:val="00141BC8"/>
    <w:rsid w:val="001E005E"/>
    <w:rsid w:val="00297B44"/>
    <w:rsid w:val="002A3205"/>
    <w:rsid w:val="003168E7"/>
    <w:rsid w:val="0037689F"/>
    <w:rsid w:val="003D1C02"/>
    <w:rsid w:val="00407893"/>
    <w:rsid w:val="00422E19"/>
    <w:rsid w:val="004277B1"/>
    <w:rsid w:val="00515610"/>
    <w:rsid w:val="005E6479"/>
    <w:rsid w:val="00633A36"/>
    <w:rsid w:val="00696F9F"/>
    <w:rsid w:val="00706AB7"/>
    <w:rsid w:val="00726B40"/>
    <w:rsid w:val="00780600"/>
    <w:rsid w:val="00834FC1"/>
    <w:rsid w:val="008E6550"/>
    <w:rsid w:val="00A02A7B"/>
    <w:rsid w:val="00A35E84"/>
    <w:rsid w:val="00AC5AB1"/>
    <w:rsid w:val="00B55BF9"/>
    <w:rsid w:val="00B71983"/>
    <w:rsid w:val="00BB14EF"/>
    <w:rsid w:val="00BC6FA0"/>
    <w:rsid w:val="00BE7295"/>
    <w:rsid w:val="00CC4C1F"/>
    <w:rsid w:val="00D00FA4"/>
    <w:rsid w:val="00D21742"/>
    <w:rsid w:val="00E5229C"/>
    <w:rsid w:val="00E77B8B"/>
    <w:rsid w:val="00EF0836"/>
    <w:rsid w:val="00EF0B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F96995B4214652A3BD6B5F7352DC94">
    <w:name w:val="1FF96995B4214652A3BD6B5F7352DC94"/>
    <w:rsid w:val="00407893"/>
  </w:style>
  <w:style w:type="paragraph" w:customStyle="1" w:styleId="13948BB4E9F54E43A409943098D09F47">
    <w:name w:val="13948BB4E9F54E43A409943098D09F47"/>
    <w:rsid w:val="00407893"/>
  </w:style>
  <w:style w:type="paragraph" w:customStyle="1" w:styleId="CF815A726D6A42A3895AC8F509A5E09C">
    <w:name w:val="CF815A726D6A42A3895AC8F509A5E09C"/>
    <w:rsid w:val="00407893"/>
  </w:style>
  <w:style w:type="paragraph" w:customStyle="1" w:styleId="EC5E95A5442643DAA795CD6A231ED26A">
    <w:name w:val="EC5E95A5442643DAA795CD6A231ED26A"/>
    <w:rsid w:val="00407893"/>
  </w:style>
  <w:style w:type="paragraph" w:customStyle="1" w:styleId="7B03BB02E758476AB60688A7252C3617">
    <w:name w:val="7B03BB02E758476AB60688A7252C3617"/>
    <w:rsid w:val="00407893"/>
  </w:style>
  <w:style w:type="paragraph" w:customStyle="1" w:styleId="EADED91B8C92451EB1C893240AFD65F9">
    <w:name w:val="EADED91B8C92451EB1C893240AFD65F9"/>
    <w:rsid w:val="00407893"/>
  </w:style>
  <w:style w:type="paragraph" w:customStyle="1" w:styleId="662AFA49AB214C8EB63F6B97A5D93AD1">
    <w:name w:val="662AFA49AB214C8EB63F6B97A5D93AD1"/>
    <w:rsid w:val="00407893"/>
  </w:style>
  <w:style w:type="paragraph" w:customStyle="1" w:styleId="F017B71644AB425489FA2B9636F22608">
    <w:name w:val="F017B71644AB425489FA2B9636F22608"/>
    <w:rsid w:val="00407893"/>
  </w:style>
  <w:style w:type="paragraph" w:customStyle="1" w:styleId="9B6257FF10494408B8CA1B72A73D0701">
    <w:name w:val="9B6257FF10494408B8CA1B72A73D0701"/>
    <w:rsid w:val="00407893"/>
  </w:style>
  <w:style w:type="paragraph" w:customStyle="1" w:styleId="AC43F8FAA3464D8EA5864D79D5950016">
    <w:name w:val="AC43F8FAA3464D8EA5864D79D5950016"/>
    <w:rsid w:val="00407893"/>
  </w:style>
  <w:style w:type="paragraph" w:customStyle="1" w:styleId="3B955ADB18484972856450A56DA08E03">
    <w:name w:val="3B955ADB18484972856450A56DA08E03"/>
    <w:rsid w:val="00407893"/>
  </w:style>
  <w:style w:type="paragraph" w:customStyle="1" w:styleId="E06AB08D41024B34B3F90178E3CD9AB4">
    <w:name w:val="E06AB08D41024B34B3F90178E3CD9AB4"/>
    <w:rsid w:val="00407893"/>
  </w:style>
  <w:style w:type="paragraph" w:customStyle="1" w:styleId="BC0719A8765E4FE590C3B4CA070DCFFB">
    <w:name w:val="BC0719A8765E4FE590C3B4CA070DCFFB"/>
    <w:rsid w:val="00407893"/>
  </w:style>
  <w:style w:type="paragraph" w:customStyle="1" w:styleId="5CAA758BC97740D38FCDD4E75B6F0E48">
    <w:name w:val="5CAA758BC97740D38FCDD4E75B6F0E48"/>
    <w:rsid w:val="00407893"/>
  </w:style>
  <w:style w:type="character" w:styleId="PlaceholderText">
    <w:name w:val="Placeholder Text"/>
    <w:basedOn w:val="DefaultParagraphFont"/>
    <w:uiPriority w:val="99"/>
    <w:semiHidden/>
    <w:rsid w:val="00AC5AB1"/>
    <w:rPr>
      <w:color w:val="808080"/>
    </w:rPr>
  </w:style>
  <w:style w:type="paragraph" w:customStyle="1" w:styleId="3E641DDA0F7D47159D8A8E4BD41ED705">
    <w:name w:val="3E641DDA0F7D47159D8A8E4BD41ED705"/>
    <w:rsid w:val="00407893"/>
  </w:style>
  <w:style w:type="paragraph" w:customStyle="1" w:styleId="17C7E8900FB54EEAAF21AB93C129A8B7">
    <w:name w:val="17C7E8900FB54EEAAF21AB93C129A8B7"/>
    <w:rsid w:val="00407893"/>
  </w:style>
  <w:style w:type="paragraph" w:customStyle="1" w:styleId="7ADB58ED4601406EA1DB599EF054B559">
    <w:name w:val="7ADB58ED4601406EA1DB599EF054B559"/>
    <w:rsid w:val="00AC5AB1"/>
  </w:style>
  <w:style w:type="paragraph" w:customStyle="1" w:styleId="EBC7EF5F198C4527A786A4EB6A2AAB3F">
    <w:name w:val="EBC7EF5F198C4527A786A4EB6A2AAB3F"/>
    <w:rsid w:val="00AC5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35B84-41EA-47B3-88C3-4E3F89E5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27</TotalTime>
  <Pages>1</Pages>
  <Words>5697</Words>
  <Characters>31339</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EPT204 : Analyse du secteur conseil en systèmes et logiciels informatiques (6202A) en France</vt:lpstr>
      <vt:lpstr>EPT204 : Analyse du secteur conseil en systèmes et logiciels informatiques (6202A) en France</vt:lpstr>
    </vt:vector>
  </TitlesOfParts>
  <Company/>
  <LinksUpToDate>false</LinksUpToDate>
  <CharactersWithSpaces>36963</CharactersWithSpaces>
  <SharedDoc>false</SharedDoc>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EPT204 : Analyse du secteur conseil en systèmes et logiciels informatiques (6202A) en France</dc:title>
  <dc:creator>Mohamed Amine EL AFRIT</dc:creator>
  <cp:lastModifiedBy>Mohamed Amine EL AFRIT</cp:lastModifiedBy>
  <cp:revision>22</cp:revision>
  <cp:lastPrinted>2017-03-17T21:08:00Z</cp:lastPrinted>
  <dcterms:created xsi:type="dcterms:W3CDTF">2016-06-23T15:05:00Z</dcterms:created>
  <dcterms:modified xsi:type="dcterms:W3CDTF">2017-03-17T21:08:00Z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Fiche 4 </vt:lpwstr>
  </property>
  <property fmtid="{D5CDD505-2E9C-101B-9397-08002B2CF9AE}" pid="3" name="Titre">
    <vt:lpwstr>Analyse du secteur conseil en systèmes et logiciels informatiques (6202A)</vt:lpwstr>
  </property>
  <property fmtid="{D5CDD505-2E9C-101B-9397-08002B2CF9AE}" pid="4" name="Projet">
    <vt:lpwstr>Les performances et synthèse </vt:lpwstr>
  </property>
  <property fmtid="{D5CDD505-2E9C-101B-9397-08002B2CF9AE}" pid="5" name="DateCreation">
    <vt:filetime>2016-06-22T22:00:00Z</vt:filetime>
  </property>
  <property fmtid="{D5CDD505-2E9C-101B-9397-08002B2CF9AE}" pid="6" name="Department">
    <vt:lpwstr>EFAB</vt:lpwstr>
  </property>
  <property fmtid="{D5CDD505-2E9C-101B-9397-08002B2CF9AE}" pid="7" name="Client">
    <vt:lpwstr>CNAM et Université Paris Diderot</vt:lpwstr>
  </property>
  <property fmtid="{D5CDD505-2E9C-101B-9397-08002B2CF9AE}" pid="8" name="Destination">
    <vt:lpwstr>EPT204</vt:lpwstr>
  </property>
</Properties>
</file>