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none"/>
          <w:left w:val="none"/>
          <w:bottom w:val="none"/>
          <w:right w:val="none"/>
          <w:insideH w:val="none"/>
          <w:insideV w:val="none"/>
        </w:tblBorders>
      </w:tblPr>
      <w:tblGrid>
        <w:gridCol w:w="9752"/>
      </w:tblGrid>
      <w:tr>
        <w:tc>
          <w:tcPr>
            <w:tcW w:type="dxa" w:w="9752"/>
            <w:shd w:val="clear" w:fill="1F3864"/>
          </w:tcPr>
          <w:p>
            <w:pPr>
              <w:spacing w:after="0" w:before="20"/>
              <w:jc w:val="center"/>
            </w:pPr>
            <w:r/>
            <w:r>
              <w:rPr>
                <w:rFonts w:ascii="Arial" w:hAnsi="Arial"/>
                <w:b/>
                <w:color w:val="FFFFFF"/>
                <w:sz w:val="32"/>
              </w:rPr>
              <w:t>Plan de management de projet</w:t>
            </w:r>
          </w:p>
          <w:p>
            <w:pPr>
              <w:spacing w:after="40"/>
              <w:jc w:val="center"/>
            </w:pPr>
            <w:r>
              <w:rPr>
                <w:rFonts w:ascii="Arial" w:hAnsi="Arial"/>
                <w:color w:val="D5DDEC"/>
                <w:sz w:val="20"/>
              </w:rPr>
              <w:t>Comment ce projet est conduit · Structuration des parcours B1/B2 · IMIE Paris</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608"/>
        <w:gridCol w:w="7143"/>
      </w:tblGrid>
      <w:tr>
        <w:tc>
          <w:tcPr>
            <w:tcW w:type="dxa" w:w="2608"/>
            <w:shd w:val="clear" w:fill="EAEFF7"/>
          </w:tcPr>
          <w:p>
            <w:pPr>
              <w:spacing w:after="40" w:before="20"/>
            </w:pPr>
            <w:r/>
            <w:r>
              <w:rPr>
                <w:rFonts w:ascii="Arial" w:hAnsi="Arial"/>
                <w:b/>
                <w:color w:val="1F3864"/>
                <w:sz w:val="18"/>
              </w:rPr>
              <w:t>Nom / Code projet</w:t>
            </w:r>
          </w:p>
        </w:tc>
        <w:tc>
          <w:tcPr>
            <w:tcW w:type="dxa" w:w="7143"/>
          </w:tcPr>
          <w:p>
            <w:pPr>
              <w:spacing w:after="40" w:before="20"/>
            </w:pPr>
            <w:r/>
            <w:r>
              <w:rPr>
                <w:rFonts w:ascii="Arial" w:hAnsi="Arial"/>
                <w:b w:val="0"/>
                <w:sz w:val="18"/>
              </w:rPr>
              <w:t>Structuration des parcours B1/B2  ·  B1B2-2026</w:t>
            </w:r>
          </w:p>
        </w:tc>
      </w:tr>
      <w:tr>
        <w:tc>
          <w:tcPr>
            <w:tcW w:type="dxa" w:w="2608"/>
            <w:shd w:val="clear" w:fill="EAEFF7"/>
          </w:tcPr>
          <w:p>
            <w:pPr>
              <w:spacing w:after="40" w:before="20"/>
            </w:pPr>
            <w:r/>
            <w:r>
              <w:rPr>
                <w:rFonts w:ascii="Arial" w:hAnsi="Arial"/>
                <w:b/>
                <w:color w:val="1F3864"/>
                <w:sz w:val="18"/>
              </w:rPr>
              <w:t>Référence</w:t>
            </w:r>
          </w:p>
        </w:tc>
        <w:tc>
          <w:tcPr>
            <w:tcW w:type="dxa" w:w="7143"/>
          </w:tcPr>
          <w:p>
            <w:pPr>
              <w:spacing w:after="40" w:before="20"/>
            </w:pPr>
            <w:r/>
            <w:r>
              <w:rPr>
                <w:rFonts w:ascii="Arial" w:hAnsi="Arial"/>
                <w:b w:val="0"/>
                <w:sz w:val="18"/>
              </w:rPr>
              <w:t>Charte de projet · fiche de poste : harmonisation et ingénierie des parcours B1/B2</w:t>
            </w:r>
          </w:p>
        </w:tc>
      </w:tr>
      <w:tr>
        <w:tc>
          <w:tcPr>
            <w:tcW w:type="dxa" w:w="2608"/>
            <w:shd w:val="clear" w:fill="EAEFF7"/>
          </w:tcPr>
          <w:p>
            <w:pPr>
              <w:spacing w:after="40" w:before="20"/>
            </w:pPr>
            <w:r/>
            <w:r>
              <w:rPr>
                <w:rFonts w:ascii="Arial" w:hAnsi="Arial"/>
                <w:b/>
                <w:color w:val="1F3864"/>
                <w:sz w:val="18"/>
              </w:rPr>
              <w:t>Chef de projet</w:t>
            </w:r>
          </w:p>
        </w:tc>
        <w:tc>
          <w:tcPr>
            <w:tcW w:type="dxa" w:w="7143"/>
          </w:tcPr>
          <w:p>
            <w:pPr>
              <w:spacing w:after="40" w:before="20"/>
            </w:pPr>
            <w:r/>
            <w:r>
              <w:rPr>
                <w:rFonts w:ascii="Arial" w:hAnsi="Arial"/>
                <w:b w:val="0"/>
                <w:sz w:val="18"/>
              </w:rPr>
              <w:t>Mohamed EL AFRIT, chargé de missions pédagogiques</w:t>
            </w:r>
          </w:p>
        </w:tc>
      </w:tr>
      <w:tr>
        <w:tc>
          <w:tcPr>
            <w:tcW w:type="dxa" w:w="2608"/>
            <w:shd w:val="clear" w:fill="EAEFF7"/>
          </w:tcPr>
          <w:p>
            <w:pPr>
              <w:spacing w:after="40" w:before="20"/>
            </w:pPr>
            <w:r/>
            <w:r>
              <w:rPr>
                <w:rFonts w:ascii="Arial" w:hAnsi="Arial"/>
                <w:b/>
                <w:color w:val="1F3864"/>
                <w:sz w:val="18"/>
              </w:rPr>
              <w:t>Sponsor</w:t>
            </w:r>
          </w:p>
        </w:tc>
        <w:tc>
          <w:tcPr>
            <w:tcW w:type="dxa" w:w="7143"/>
          </w:tcPr>
          <w:p>
            <w:pPr>
              <w:spacing w:after="40" w:before="20"/>
            </w:pPr>
            <w:r/>
            <w:r>
              <w:rPr>
                <w:rFonts w:ascii="Arial" w:hAnsi="Arial"/>
                <w:b w:val="0"/>
                <w:sz w:val="18"/>
              </w:rPr>
              <w:t>Directeur IMIE Paris</w:t>
            </w:r>
          </w:p>
        </w:tc>
      </w:tr>
      <w:tr>
        <w:tc>
          <w:tcPr>
            <w:tcW w:type="dxa" w:w="2608"/>
            <w:shd w:val="clear" w:fill="EAEFF7"/>
          </w:tcPr>
          <w:p>
            <w:pPr>
              <w:spacing w:after="40" w:before="20"/>
            </w:pPr>
            <w:r/>
            <w:r>
              <w:rPr>
                <w:rFonts w:ascii="Arial" w:hAnsi="Arial"/>
                <w:b/>
                <w:color w:val="1F3864"/>
                <w:sz w:val="18"/>
              </w:rPr>
              <w:t>Approbation</w:t>
            </w:r>
          </w:p>
        </w:tc>
        <w:tc>
          <w:tcPr>
            <w:tcW w:type="dxa" w:w="7143"/>
          </w:tcPr>
          <w:p>
            <w:pPr>
              <w:spacing w:after="40" w:before="20"/>
            </w:pPr>
            <w:r/>
            <w:r>
              <w:rPr>
                <w:rFonts w:ascii="Arial" w:hAnsi="Arial"/>
                <w:b w:val="0"/>
                <w:sz w:val="18"/>
              </w:rPr>
              <w:t>Responsable pédagogique, niveau 1 · direction aux jalons</w:t>
            </w:r>
          </w:p>
        </w:tc>
      </w:tr>
    </w:tbl>
    <w:p>
      <w:pPr>
        <w:spacing w:before="0" w:after="80"/>
      </w:pPr>
    </w:p>
    <w:p>
      <w:pPr>
        <w:spacing w:before="40" w:after="60"/>
      </w:pPr>
      <w:r>
        <w:rPr>
          <w:rFonts w:ascii="Arial" w:hAnsi="Arial"/>
          <w:b/>
          <w:i w:val="0"/>
          <w:color w:val="1F3864"/>
          <w:sz w:val="20"/>
        </w:rPr>
        <w:t>Historique du document</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438"/>
        <w:gridCol w:w="2438"/>
        <w:gridCol w:w="2438"/>
        <w:gridCol w:w="2438"/>
      </w:tblGrid>
      <w:tr>
        <w:tc>
          <w:tcPr>
            <w:tcW w:type="dxa" w:w="907"/>
            <w:shd w:val="clear" w:fill="1F3864"/>
          </w:tcPr>
          <w:p>
            <w:pPr>
              <w:spacing w:after="40" w:before="20"/>
            </w:pPr>
            <w:r/>
            <w:r>
              <w:rPr>
                <w:rFonts w:ascii="Arial" w:hAnsi="Arial"/>
                <w:b/>
                <w:color w:val="FFFFFF"/>
                <w:sz w:val="18"/>
              </w:rPr>
              <w:t>Version</w:t>
            </w:r>
          </w:p>
        </w:tc>
        <w:tc>
          <w:tcPr>
            <w:tcW w:type="dxa" w:w="2494"/>
            <w:shd w:val="clear" w:fill="1F3864"/>
          </w:tcPr>
          <w:p>
            <w:pPr>
              <w:spacing w:after="40" w:before="20"/>
            </w:pPr>
            <w:r/>
            <w:r>
              <w:rPr>
                <w:rFonts w:ascii="Arial" w:hAnsi="Arial"/>
                <w:b/>
                <w:color w:val="FFFFFF"/>
                <w:sz w:val="18"/>
              </w:rPr>
              <w:t>Auteur</w:t>
            </w:r>
          </w:p>
        </w:tc>
        <w:tc>
          <w:tcPr>
            <w:tcW w:type="dxa" w:w="4649"/>
            <w:shd w:val="clear" w:fill="1F3864"/>
          </w:tcPr>
          <w:p>
            <w:pPr>
              <w:spacing w:after="40" w:before="20"/>
            </w:pPr>
            <w:r/>
            <w:r>
              <w:rPr>
                <w:rFonts w:ascii="Arial" w:hAnsi="Arial"/>
                <w:b/>
                <w:color w:val="FFFFFF"/>
                <w:sz w:val="18"/>
              </w:rPr>
              <w:t>Description</w:t>
            </w:r>
          </w:p>
        </w:tc>
        <w:tc>
          <w:tcPr>
            <w:tcW w:type="dxa" w:w="1701"/>
            <w:shd w:val="clear" w:fill="1F3864"/>
          </w:tcPr>
          <w:p>
            <w:pPr>
              <w:spacing w:after="40" w:before="20"/>
            </w:pPr>
            <w:r/>
            <w:r>
              <w:rPr>
                <w:rFonts w:ascii="Arial" w:hAnsi="Arial"/>
                <w:b/>
                <w:color w:val="FFFFFF"/>
                <w:sz w:val="18"/>
              </w:rPr>
              <w:t>Date</w:t>
            </w:r>
          </w:p>
        </w:tc>
      </w:tr>
      <w:tr>
        <w:tc>
          <w:tcPr>
            <w:tcW w:type="dxa" w:w="907"/>
          </w:tcPr>
          <w:p>
            <w:pPr>
              <w:spacing w:after="40" w:before="20"/>
            </w:pPr>
            <w:r/>
            <w:r>
              <w:rPr>
                <w:rFonts w:ascii="Arial" w:hAnsi="Arial"/>
                <w:b w:val="0"/>
                <w:sz w:val="18"/>
              </w:rPr>
              <w:t>V1.0</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Première version, approuvée avec la charte</w:t>
            </w:r>
          </w:p>
        </w:tc>
        <w:tc>
          <w:tcPr>
            <w:tcW w:type="dxa" w:w="1701"/>
          </w:tcPr>
          <w:p>
            <w:pPr>
              <w:spacing w:after="40" w:before="20"/>
            </w:pPr>
            <w:r/>
            <w:r>
              <w:rPr>
                <w:rFonts w:ascii="Arial" w:hAnsi="Arial"/>
                <w:b w:val="0"/>
                <w:sz w:val="18"/>
              </w:rPr>
              <w:t>12/01/2026</w:t>
            </w:r>
          </w:p>
        </w:tc>
      </w:tr>
      <w:tr>
        <w:tc>
          <w:tcPr>
            <w:tcW w:type="dxa" w:w="907"/>
          </w:tcPr>
          <w:p>
            <w:pPr>
              <w:spacing w:after="40" w:before="20"/>
            </w:pPr>
            <w:r/>
            <w:r>
              <w:rPr>
                <w:rFonts w:ascii="Arial" w:hAnsi="Arial"/>
                <w:b w:val="0"/>
                <w:sz w:val="18"/>
              </w:rPr>
              <w:t>V1.1</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Processus de qualité et contrôles précisés après le diagnostic</w:t>
            </w:r>
          </w:p>
        </w:tc>
        <w:tc>
          <w:tcPr>
            <w:tcW w:type="dxa" w:w="1701"/>
          </w:tcPr>
          <w:p>
            <w:pPr>
              <w:spacing w:after="40" w:before="20"/>
            </w:pPr>
            <w:r/>
            <w:r>
              <w:rPr>
                <w:rFonts w:ascii="Arial" w:hAnsi="Arial"/>
                <w:b w:val="0"/>
                <w:sz w:val="18"/>
              </w:rPr>
              <w:t>17/03/2026</w:t>
            </w:r>
          </w:p>
        </w:tc>
      </w:tr>
      <w:tr>
        <w:tc>
          <w:tcPr>
            <w:tcW w:type="dxa" w:w="907"/>
          </w:tcPr>
          <w:p>
            <w:pPr>
              <w:spacing w:after="40" w:before="20"/>
            </w:pPr>
            <w:r/>
            <w:r>
              <w:rPr>
                <w:rFonts w:ascii="Arial" w:hAnsi="Arial"/>
                <w:b w:val="0"/>
                <w:sz w:val="18"/>
              </w:rPr>
              <w:t>V2.0</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Cycle de vie hybride formalisé : le chantier applicatif suit un cycle itératif</w:t>
            </w:r>
          </w:p>
        </w:tc>
        <w:tc>
          <w:tcPr>
            <w:tcW w:type="dxa" w:w="1701"/>
          </w:tcPr>
          <w:p>
            <w:pPr>
              <w:spacing w:after="40" w:before="20"/>
            </w:pPr>
            <w:r/>
            <w:r>
              <w:rPr>
                <w:rFonts w:ascii="Arial" w:hAnsi="Arial"/>
                <w:b w:val="0"/>
                <w:sz w:val="18"/>
              </w:rPr>
              <w:t>01/04/2026</w:t>
            </w:r>
          </w:p>
        </w:tc>
      </w:tr>
      <w:tr>
        <w:tc>
          <w:tcPr>
            <w:tcW w:type="dxa" w:w="907"/>
          </w:tcPr>
          <w:p>
            <w:pPr>
              <w:spacing w:after="40" w:before="20"/>
            </w:pPr>
            <w:r/>
            <w:r>
              <w:rPr>
                <w:rFonts w:ascii="Arial" w:hAnsi="Arial"/>
                <w:b w:val="0"/>
                <w:sz w:val="18"/>
              </w:rPr>
              <w:t>V2.1</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Stratégie d'engagement des parties prenantes revue</w:t>
            </w:r>
          </w:p>
        </w:tc>
        <w:tc>
          <w:tcPr>
            <w:tcW w:type="dxa" w:w="1701"/>
          </w:tcPr>
          <w:p>
            <w:pPr>
              <w:spacing w:after="40" w:before="20"/>
            </w:pPr>
            <w:r/>
            <w:r>
              <w:rPr>
                <w:rFonts w:ascii="Arial" w:hAnsi="Arial"/>
                <w:b w:val="0"/>
                <w:sz w:val="18"/>
              </w:rPr>
              <w:t>15/05/2026</w:t>
            </w:r>
          </w:p>
        </w:tc>
      </w:tr>
      <w:tr>
        <w:tc>
          <w:tcPr>
            <w:tcW w:type="dxa" w:w="907"/>
          </w:tcPr>
          <w:p>
            <w:pPr>
              <w:spacing w:after="40" w:before="20"/>
            </w:pPr>
            <w:r/>
            <w:r>
              <w:rPr>
                <w:rFonts w:ascii="Arial" w:hAnsi="Arial"/>
                <w:b w:val="0"/>
                <w:sz w:val="18"/>
              </w:rPr>
              <w:t>V2.2</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Maîtrise des changements et seuils de décision explicités</w:t>
            </w:r>
          </w:p>
        </w:tc>
        <w:tc>
          <w:tcPr>
            <w:tcW w:type="dxa" w:w="1701"/>
          </w:tcPr>
          <w:p>
            <w:pPr>
              <w:spacing w:after="40" w:before="20"/>
            </w:pPr>
            <w:r/>
            <w:r>
              <w:rPr>
                <w:rFonts w:ascii="Arial" w:hAnsi="Arial"/>
                <w:b w:val="0"/>
                <w:sz w:val="18"/>
              </w:rPr>
              <w:t>30/06/2026</w:t>
            </w:r>
          </w:p>
        </w:tc>
      </w:tr>
      <w:tr>
        <w:tc>
          <w:tcPr>
            <w:tcW w:type="dxa" w:w="907"/>
          </w:tcPr>
          <w:p>
            <w:pPr>
              <w:spacing w:after="40" w:before="20"/>
            </w:pPr>
            <w:r/>
            <w:r>
              <w:rPr>
                <w:rFonts w:ascii="Arial" w:hAnsi="Arial"/>
                <w:b w:val="0"/>
                <w:sz w:val="18"/>
              </w:rPr>
              <w:t>V3.0</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Consolidation de clôture</w:t>
            </w:r>
          </w:p>
        </w:tc>
        <w:tc>
          <w:tcPr>
            <w:tcW w:type="dxa" w:w="1701"/>
          </w:tcPr>
          <w:p>
            <w:pPr>
              <w:spacing w:after="40" w:before="20"/>
            </w:pPr>
            <w:r/>
            <w:r>
              <w:rPr>
                <w:rFonts w:ascii="Arial" w:hAnsi="Arial"/>
                <w:b w:val="0"/>
                <w:sz w:val="18"/>
              </w:rPr>
              <w:t>20/08/2026</w:t>
            </w:r>
          </w:p>
        </w:tc>
      </w:tr>
    </w:tbl>
    <w:p>
      <w:pPr>
        <w:spacing w:before="0" w:after="120"/>
      </w:pPr>
    </w:p>
    <w:p>
      <w:pPr>
        <w:spacing w:before="200" w:after="80"/>
      </w:pPr>
      <w:r>
        <w:rPr>
          <w:rFonts w:ascii="Arial" w:hAnsi="Arial"/>
          <w:b/>
          <w:i w:val="0"/>
          <w:color w:val="1F3864"/>
          <w:sz w:val="26"/>
        </w:rPr>
        <w:t>1.  Introduction</w:t>
      </w:r>
    </w:p>
    <w:p>
      <w:pPr>
        <w:spacing w:before="0" w:after="100"/>
      </w:pPr>
      <w:r>
        <w:rPr>
          <w:rFonts w:ascii="Arial" w:hAnsi="Arial"/>
          <w:b w:val="0"/>
          <w:i w:val="0"/>
          <w:color w:val="212121"/>
          <w:sz w:val="19"/>
        </w:rPr>
        <w:t>Ce plan décrit la manière dont le projet est conduit : les processus retenus, les seuils de décision, les instances et les règles. Il ne reprend pas les données qui figurent dans les documents dédiés ; il y renvoie. Le lecteur qui cherche une valeur consulte le document nommé, celui qui cherche une règle la trouve ici.</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4876"/>
        <w:gridCol w:w="4876"/>
      </w:tblGrid>
      <w:tr>
        <w:trPr>
          <w:tblHeader w:val="true"/>
        </w:trPr>
        <w:tc>
          <w:tcPr>
            <w:tcW w:type="dxa" w:w="3061"/>
            <w:shd w:val="clear" w:fill="1F3864"/>
          </w:tcPr>
          <w:p>
            <w:pPr>
              <w:spacing w:after="20" w:before="20"/>
            </w:pPr>
            <w:r/>
            <w:r>
              <w:rPr>
                <w:rFonts w:ascii="Arial" w:hAnsi="Arial"/>
                <w:b/>
                <w:color w:val="FFFFFF"/>
                <w:sz w:val="17"/>
              </w:rPr>
              <w:t>Domaine</w:t>
            </w:r>
          </w:p>
        </w:tc>
        <w:tc>
          <w:tcPr>
            <w:tcW w:type="dxa" w:w="6690"/>
            <w:shd w:val="clear" w:fill="1F3864"/>
          </w:tcPr>
          <w:p>
            <w:pPr>
              <w:spacing w:after="20" w:before="20"/>
            </w:pPr>
            <w:r/>
            <w:r>
              <w:rPr>
                <w:rFonts w:ascii="Arial" w:hAnsi="Arial"/>
                <w:b/>
                <w:color w:val="FFFFFF"/>
                <w:sz w:val="17"/>
              </w:rPr>
              <w:t>Document qui porte les données</w:t>
            </w:r>
          </w:p>
        </w:tc>
      </w:tr>
      <w:tr>
        <w:tc>
          <w:tcPr>
            <w:tcW w:type="dxa" w:w="3061"/>
          </w:tcPr>
          <w:p>
            <w:pPr>
              <w:spacing w:after="20" w:before="20"/>
            </w:pPr>
            <w:r/>
            <w:r>
              <w:rPr>
                <w:rFonts w:ascii="Arial" w:hAnsi="Arial"/>
                <w:b w:val="0"/>
                <w:sz w:val="17"/>
              </w:rPr>
              <w:t>Opportunité et décision</w:t>
            </w:r>
          </w:p>
        </w:tc>
        <w:tc>
          <w:tcPr>
            <w:tcW w:type="dxa" w:w="6690"/>
          </w:tcPr>
          <w:p>
            <w:pPr>
              <w:spacing w:after="20" w:before="20"/>
            </w:pPr>
            <w:r/>
            <w:r>
              <w:rPr>
                <w:rFonts w:ascii="Arial" w:hAnsi="Arial"/>
                <w:b w:val="0"/>
                <w:sz w:val="17"/>
              </w:rPr>
              <w:t>Étude d'opportunité, matrice SWOT</w:t>
            </w:r>
          </w:p>
        </w:tc>
      </w:tr>
      <w:tr>
        <w:tc>
          <w:tcPr>
            <w:tcW w:type="dxa" w:w="3061"/>
          </w:tcPr>
          <w:p>
            <w:pPr>
              <w:spacing w:after="20" w:before="20"/>
            </w:pPr>
            <w:r/>
            <w:r>
              <w:rPr>
                <w:rFonts w:ascii="Arial" w:hAnsi="Arial"/>
                <w:b w:val="0"/>
                <w:sz w:val="17"/>
              </w:rPr>
              <w:t>Cadrage</w:t>
            </w:r>
          </w:p>
        </w:tc>
        <w:tc>
          <w:tcPr>
            <w:tcW w:type="dxa" w:w="6690"/>
          </w:tcPr>
          <w:p>
            <w:pPr>
              <w:spacing w:after="20" w:before="20"/>
            </w:pPr>
            <w:r/>
            <w:r>
              <w:rPr>
                <w:rFonts w:ascii="Arial" w:hAnsi="Arial"/>
                <w:b w:val="0"/>
                <w:sz w:val="17"/>
              </w:rPr>
              <w:t>Charte de projet, cadre logique</w:t>
            </w:r>
          </w:p>
        </w:tc>
      </w:tr>
      <w:tr>
        <w:tc>
          <w:tcPr>
            <w:tcW w:type="dxa" w:w="3061"/>
          </w:tcPr>
          <w:p>
            <w:pPr>
              <w:spacing w:after="20" w:before="20"/>
            </w:pPr>
            <w:r/>
            <w:r>
              <w:rPr>
                <w:rFonts w:ascii="Arial" w:hAnsi="Arial"/>
                <w:b w:val="0"/>
                <w:sz w:val="17"/>
              </w:rPr>
              <w:t>Périmètre</w:t>
            </w:r>
          </w:p>
        </w:tc>
        <w:tc>
          <w:tcPr>
            <w:tcW w:type="dxa" w:w="6690"/>
          </w:tcPr>
          <w:p>
            <w:pPr>
              <w:spacing w:after="20" w:before="20"/>
            </w:pPr>
            <w:r/>
            <w:r>
              <w:rPr>
                <w:rFonts w:ascii="Arial" w:hAnsi="Arial"/>
                <w:b w:val="0"/>
                <w:sz w:val="17"/>
              </w:rPr>
              <w:t>WBS et PBS, dictionnaire du WBS, matrice des exigences</w:t>
            </w:r>
          </w:p>
        </w:tc>
      </w:tr>
      <w:tr>
        <w:tc>
          <w:tcPr>
            <w:tcW w:type="dxa" w:w="3061"/>
          </w:tcPr>
          <w:p>
            <w:pPr>
              <w:spacing w:after="20" w:before="20"/>
            </w:pPr>
            <w:r/>
            <w:r>
              <w:rPr>
                <w:rFonts w:ascii="Arial" w:hAnsi="Arial"/>
                <w:b w:val="0"/>
                <w:sz w:val="17"/>
              </w:rPr>
              <w:t>Échéancier</w:t>
            </w:r>
          </w:p>
        </w:tc>
        <w:tc>
          <w:tcPr>
            <w:tcW w:type="dxa" w:w="6690"/>
          </w:tcPr>
          <w:p>
            <w:pPr>
              <w:spacing w:after="20" w:before="20"/>
            </w:pPr>
            <w:r/>
            <w:r>
              <w:rPr>
                <w:rFonts w:ascii="Arial" w:hAnsi="Arial"/>
                <w:b w:val="0"/>
                <w:sz w:val="17"/>
              </w:rPr>
              <w:t>Macro-planning, diagramme de Gantt détaillé</w:t>
            </w:r>
          </w:p>
        </w:tc>
      </w:tr>
      <w:tr>
        <w:tc>
          <w:tcPr>
            <w:tcW w:type="dxa" w:w="3061"/>
          </w:tcPr>
          <w:p>
            <w:pPr>
              <w:spacing w:after="20" w:before="20"/>
            </w:pPr>
            <w:r/>
            <w:r>
              <w:rPr>
                <w:rFonts w:ascii="Arial" w:hAnsi="Arial"/>
                <w:b w:val="0"/>
                <w:sz w:val="17"/>
              </w:rPr>
              <w:t>Coûts</w:t>
            </w:r>
          </w:p>
        </w:tc>
        <w:tc>
          <w:tcPr>
            <w:tcW w:type="dxa" w:w="6690"/>
          </w:tcPr>
          <w:p>
            <w:pPr>
              <w:spacing w:after="20" w:before="20"/>
            </w:pPr>
            <w:r/>
            <w:r>
              <w:rPr>
                <w:rFonts w:ascii="Arial" w:hAnsi="Arial"/>
                <w:b w:val="0"/>
                <w:sz w:val="17"/>
              </w:rPr>
              <w:t>Budget prévisionnel et suivi des coûts</w:t>
            </w:r>
          </w:p>
        </w:tc>
      </w:tr>
      <w:tr>
        <w:tc>
          <w:tcPr>
            <w:tcW w:type="dxa" w:w="3061"/>
          </w:tcPr>
          <w:p>
            <w:pPr>
              <w:spacing w:after="20" w:before="20"/>
            </w:pPr>
            <w:r/>
            <w:r>
              <w:rPr>
                <w:rFonts w:ascii="Arial" w:hAnsi="Arial"/>
                <w:b w:val="0"/>
                <w:sz w:val="17"/>
              </w:rPr>
              <w:t>Ressources</w:t>
            </w:r>
          </w:p>
        </w:tc>
        <w:tc>
          <w:tcPr>
            <w:tcW w:type="dxa" w:w="6690"/>
          </w:tcPr>
          <w:p>
            <w:pPr>
              <w:spacing w:after="20" w:before="20"/>
            </w:pPr>
            <w:r/>
            <w:r>
              <w:rPr>
                <w:rFonts w:ascii="Arial" w:hAnsi="Arial"/>
                <w:b w:val="0"/>
                <w:sz w:val="17"/>
              </w:rPr>
              <w:t>Organigramme du projet, matrice des compétences, RACI</w:t>
            </w:r>
          </w:p>
        </w:tc>
      </w:tr>
      <w:tr>
        <w:tc>
          <w:tcPr>
            <w:tcW w:type="dxa" w:w="3061"/>
          </w:tcPr>
          <w:p>
            <w:pPr>
              <w:spacing w:after="20" w:before="20"/>
            </w:pPr>
            <w:r/>
            <w:r>
              <w:rPr>
                <w:rFonts w:ascii="Arial" w:hAnsi="Arial"/>
                <w:b w:val="0"/>
                <w:sz w:val="17"/>
              </w:rPr>
              <w:t>Communications</w:t>
            </w:r>
          </w:p>
        </w:tc>
        <w:tc>
          <w:tcPr>
            <w:tcW w:type="dxa" w:w="6690"/>
          </w:tcPr>
          <w:p>
            <w:pPr>
              <w:spacing w:after="20" w:before="20"/>
            </w:pPr>
            <w:r/>
            <w:r>
              <w:rPr>
                <w:rFonts w:ascii="Arial" w:hAnsi="Arial"/>
                <w:b w:val="0"/>
                <w:sz w:val="17"/>
              </w:rPr>
              <w:t>Plan de communication, registre des parties prenantes</w:t>
            </w:r>
          </w:p>
        </w:tc>
      </w:tr>
      <w:tr>
        <w:tc>
          <w:tcPr>
            <w:tcW w:type="dxa" w:w="3061"/>
          </w:tcPr>
          <w:p>
            <w:pPr>
              <w:spacing w:after="20" w:before="20"/>
            </w:pPr>
            <w:r/>
            <w:r>
              <w:rPr>
                <w:rFonts w:ascii="Arial" w:hAnsi="Arial"/>
                <w:b w:val="0"/>
                <w:sz w:val="17"/>
              </w:rPr>
              <w:t>Risques</w:t>
            </w:r>
          </w:p>
        </w:tc>
        <w:tc>
          <w:tcPr>
            <w:tcW w:type="dxa" w:w="6690"/>
          </w:tcPr>
          <w:p>
            <w:pPr>
              <w:spacing w:after="20" w:before="20"/>
            </w:pPr>
            <w:r/>
            <w:r>
              <w:rPr>
                <w:rFonts w:ascii="Arial" w:hAnsi="Arial"/>
                <w:b w:val="0"/>
                <w:sz w:val="17"/>
              </w:rPr>
              <w:t>Registre des risques</w:t>
            </w:r>
          </w:p>
        </w:tc>
      </w:tr>
      <w:tr>
        <w:tc>
          <w:tcPr>
            <w:tcW w:type="dxa" w:w="3061"/>
          </w:tcPr>
          <w:p>
            <w:pPr>
              <w:spacing w:after="20" w:before="20"/>
            </w:pPr>
            <w:r/>
            <w:r>
              <w:rPr>
                <w:rFonts w:ascii="Arial" w:hAnsi="Arial"/>
                <w:b w:val="0"/>
                <w:sz w:val="17"/>
              </w:rPr>
              <w:t>Qualité et conformité</w:t>
            </w:r>
          </w:p>
        </w:tc>
        <w:tc>
          <w:tcPr>
            <w:tcW w:type="dxa" w:w="6690"/>
          </w:tcPr>
          <w:p>
            <w:pPr>
              <w:spacing w:after="20" w:before="20"/>
            </w:pPr>
            <w:r/>
            <w:r>
              <w:rPr>
                <w:rFonts w:ascii="Arial" w:hAnsi="Arial"/>
                <w:b w:val="0"/>
                <w:sz w:val="17"/>
              </w:rPr>
              <w:t>Contrôles de production, pack de preuves</w:t>
            </w:r>
          </w:p>
        </w:tc>
      </w:tr>
      <w:tr>
        <w:tc>
          <w:tcPr>
            <w:tcW w:type="dxa" w:w="3061"/>
          </w:tcPr>
          <w:p>
            <w:pPr>
              <w:spacing w:after="20" w:before="20"/>
            </w:pPr>
            <w:r/>
            <w:r>
              <w:rPr>
                <w:rFonts w:ascii="Arial" w:hAnsi="Arial"/>
                <w:b w:val="0"/>
                <w:sz w:val="17"/>
              </w:rPr>
              <w:t>Gestion documentaire</w:t>
            </w:r>
          </w:p>
        </w:tc>
        <w:tc>
          <w:tcPr>
            <w:tcW w:type="dxa" w:w="6690"/>
          </w:tcPr>
          <w:p>
            <w:pPr>
              <w:spacing w:after="20" w:before="20"/>
            </w:pPr>
            <w:r/>
            <w:r>
              <w:rPr>
                <w:rFonts w:ascii="Arial" w:hAnsi="Arial"/>
                <w:b w:val="0"/>
                <w:sz w:val="17"/>
              </w:rPr>
              <w:t>Registre de gestion documentaire</w:t>
            </w:r>
          </w:p>
        </w:tc>
      </w:tr>
    </w:tbl>
    <w:p>
      <w:pPr>
        <w:spacing w:before="0" w:after="120"/>
      </w:pPr>
    </w:p>
    <w:p>
      <w:pPr>
        <w:spacing w:before="200" w:after="80"/>
      </w:pPr>
      <w:r>
        <w:rPr>
          <w:rFonts w:ascii="Arial" w:hAnsi="Arial"/>
          <w:b/>
          <w:i w:val="0"/>
          <w:color w:val="1F3864"/>
          <w:sz w:val="26"/>
        </w:rPr>
        <w:t>2.  Description du projet</w:t>
      </w:r>
    </w:p>
    <w:p>
      <w:pPr>
        <w:spacing w:before="120" w:after="40"/>
      </w:pPr>
      <w:r>
        <w:rPr>
          <w:rFonts w:ascii="Arial" w:hAnsi="Arial"/>
          <w:b/>
          <w:i w:val="0"/>
          <w:color w:val="1F3864"/>
          <w:sz w:val="21"/>
        </w:rPr>
        <w:t>2.1  Objet</w:t>
      </w:r>
    </w:p>
    <w:p>
      <w:pPr>
        <w:spacing w:before="0" w:after="100"/>
      </w:pPr>
      <w:r>
        <w:rPr>
          <w:rFonts w:ascii="Arial" w:hAnsi="Arial"/>
          <w:b w:val="0"/>
          <w:i w:val="0"/>
          <w:color w:val="212121"/>
          <w:sz w:val="19"/>
        </w:rPr>
        <w:t>Construire, par rétro-conception depuis les compétences exigées en fin de cycle, l'appareil pédagogique complet des deux premières années des filières de développement et de cybersécurité, et outiller le pilotage de sa mise en œuvre. Le projet couvre deux chantiers coordonnés : la refonte pédagogique et l'application de collecte et de planification.</w:t>
      </w:r>
    </w:p>
    <w:p>
      <w:pPr>
        <w:spacing w:before="120" w:after="40"/>
      </w:pPr>
      <w:r>
        <w:rPr>
          <w:rFonts w:ascii="Arial" w:hAnsi="Arial"/>
          <w:b/>
          <w:i w:val="0"/>
          <w:color w:val="1F3864"/>
          <w:sz w:val="21"/>
        </w:rPr>
        <w:t>2.2  Cycle de vie retenu</w:t>
      </w:r>
    </w:p>
    <w:p>
      <w:pPr>
        <w:spacing w:before="0" w:after="100"/>
      </w:pPr>
      <w:r>
        <w:rPr>
          <w:rFonts w:ascii="Arial" w:hAnsi="Arial"/>
          <w:b w:val="0"/>
          <w:i w:val="0"/>
          <w:color w:val="212121"/>
          <w:sz w:val="19"/>
        </w:rPr>
        <w:t>Le projet est conduit en mode hybride, et ce choix est délibéré. Le volet pédagogique suit un cycle prédictif : la cible est stable, elle est fixée par des référentiels que le projet ne modifie pas, et chaque phase doit être validée avant que la suivante commence. Le volet applicatif suit un cycle itératif : le besoin se précise à l'usage, et une version imparfaite mise entre les mains de la responsable pédagogique apprend plus qu'une spécification détaillée. Les deux cycles se rejoignent aux jalons communs.</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438"/>
        <w:gridCol w:w="2438"/>
        <w:gridCol w:w="2438"/>
        <w:gridCol w:w="2438"/>
      </w:tblGrid>
      <w:tr>
        <w:trPr>
          <w:tblHeader w:val="true"/>
        </w:trPr>
        <w:tc>
          <w:tcPr>
            <w:tcW w:type="dxa" w:w="2608"/>
            <w:shd w:val="clear" w:fill="1F3864"/>
          </w:tcPr>
          <w:p>
            <w:pPr>
              <w:spacing w:after="20" w:before="20"/>
            </w:pPr>
            <w:r/>
            <w:r>
              <w:rPr>
                <w:rFonts w:ascii="Arial" w:hAnsi="Arial"/>
                <w:b/>
                <w:color w:val="FFFFFF"/>
                <w:sz w:val="17"/>
              </w:rPr>
              <w:t>Phase</w:t>
            </w:r>
          </w:p>
        </w:tc>
        <w:tc>
          <w:tcPr>
            <w:tcW w:type="dxa" w:w="1134"/>
            <w:shd w:val="clear" w:fill="1F3864"/>
          </w:tcPr>
          <w:p>
            <w:pPr>
              <w:spacing w:after="20" w:before="20"/>
            </w:pPr>
            <w:r/>
            <w:r>
              <w:rPr>
                <w:rFonts w:ascii="Arial" w:hAnsi="Arial"/>
                <w:b/>
                <w:color w:val="FFFFFF"/>
                <w:sz w:val="17"/>
              </w:rPr>
              <w:t>Nature</w:t>
            </w:r>
          </w:p>
        </w:tc>
        <w:tc>
          <w:tcPr>
            <w:tcW w:type="dxa" w:w="4082"/>
            <w:shd w:val="clear" w:fill="1F3864"/>
          </w:tcPr>
          <w:p>
            <w:pPr>
              <w:spacing w:after="20" w:before="20"/>
            </w:pPr>
            <w:r/>
            <w:r>
              <w:rPr>
                <w:rFonts w:ascii="Arial" w:hAnsi="Arial"/>
                <w:b/>
                <w:color w:val="FFFFFF"/>
                <w:sz w:val="17"/>
              </w:rPr>
              <w:t>Livrable de phase</w:t>
            </w:r>
          </w:p>
        </w:tc>
        <w:tc>
          <w:tcPr>
            <w:tcW w:type="dxa" w:w="1928"/>
            <w:shd w:val="clear" w:fill="1F3864"/>
          </w:tcPr>
          <w:p>
            <w:pPr>
              <w:spacing w:after="20" w:before="20"/>
            </w:pPr>
            <w:r/>
            <w:r>
              <w:rPr>
                <w:rFonts w:ascii="Arial" w:hAnsi="Arial"/>
                <w:b/>
                <w:color w:val="FFFFFF"/>
                <w:sz w:val="17"/>
              </w:rPr>
              <w:t>Jalon de sortie</w:t>
            </w:r>
          </w:p>
        </w:tc>
      </w:tr>
      <w:tr>
        <w:tc>
          <w:tcPr>
            <w:tcW w:type="dxa" w:w="2608"/>
          </w:tcPr>
          <w:p>
            <w:pPr>
              <w:spacing w:after="20" w:before="20"/>
            </w:pPr>
            <w:r/>
            <w:r>
              <w:rPr>
                <w:rFonts w:ascii="Arial" w:hAnsi="Arial"/>
                <w:b w:val="0"/>
                <w:sz w:val="17"/>
              </w:rPr>
              <w:t>1 Initialisation et cadrage</w:t>
            </w:r>
          </w:p>
        </w:tc>
        <w:tc>
          <w:tcPr>
            <w:tcW w:type="dxa" w:w="1134"/>
          </w:tcPr>
          <w:p>
            <w:pPr>
              <w:spacing w:after="20" w:before="20"/>
            </w:pPr>
            <w:r/>
            <w:r>
              <w:rPr>
                <w:rFonts w:ascii="Arial" w:hAnsi="Arial"/>
                <w:b w:val="0"/>
                <w:sz w:val="17"/>
              </w:rPr>
              <w:t>Prédictif</w:t>
            </w:r>
          </w:p>
        </w:tc>
        <w:tc>
          <w:tcPr>
            <w:tcW w:type="dxa" w:w="4082"/>
          </w:tcPr>
          <w:p>
            <w:pPr>
              <w:spacing w:after="20" w:before="20"/>
            </w:pPr>
            <w:r/>
            <w:r>
              <w:rPr>
                <w:rFonts w:ascii="Arial" w:hAnsi="Arial"/>
                <w:b w:val="0"/>
                <w:sz w:val="17"/>
              </w:rPr>
              <w:t>Périmètre arrêté, plannings consolidés</w:t>
            </w:r>
          </w:p>
        </w:tc>
        <w:tc>
          <w:tcPr>
            <w:tcW w:type="dxa" w:w="1928"/>
          </w:tcPr>
          <w:p>
            <w:pPr>
              <w:spacing w:after="20" w:before="20"/>
            </w:pPr>
            <w:r/>
            <w:r>
              <w:rPr>
                <w:rFonts w:ascii="Arial" w:hAnsi="Arial"/>
                <w:b w:val="0"/>
                <w:sz w:val="17"/>
              </w:rPr>
              <w:t>M1</w:t>
            </w:r>
          </w:p>
        </w:tc>
      </w:tr>
      <w:tr>
        <w:tc>
          <w:tcPr>
            <w:tcW w:type="dxa" w:w="2608"/>
          </w:tcPr>
          <w:p>
            <w:pPr>
              <w:spacing w:after="20" w:before="20"/>
            </w:pPr>
            <w:r/>
            <w:r>
              <w:rPr>
                <w:rFonts w:ascii="Arial" w:hAnsi="Arial"/>
                <w:b w:val="0"/>
                <w:sz w:val="17"/>
              </w:rPr>
              <w:t>2 Diagnostic et conception</w:t>
            </w:r>
          </w:p>
        </w:tc>
        <w:tc>
          <w:tcPr>
            <w:tcW w:type="dxa" w:w="1134"/>
          </w:tcPr>
          <w:p>
            <w:pPr>
              <w:spacing w:after="20" w:before="20"/>
            </w:pPr>
            <w:r/>
            <w:r>
              <w:rPr>
                <w:rFonts w:ascii="Arial" w:hAnsi="Arial"/>
                <w:b w:val="0"/>
                <w:sz w:val="17"/>
              </w:rPr>
              <w:t>Prédictif</w:t>
            </w:r>
          </w:p>
        </w:tc>
        <w:tc>
          <w:tcPr>
            <w:tcW w:type="dxa" w:w="4082"/>
          </w:tcPr>
          <w:p>
            <w:pPr>
              <w:spacing w:after="20" w:before="20"/>
            </w:pPr>
            <w:r/>
            <w:r>
              <w:rPr>
                <w:rFonts w:ascii="Arial" w:hAnsi="Arial"/>
                <w:b w:val="0"/>
                <w:sz w:val="17"/>
              </w:rPr>
              <w:t>Référentiels, matrices, ordonnancement, règlement</w:t>
            </w:r>
          </w:p>
        </w:tc>
        <w:tc>
          <w:tcPr>
            <w:tcW w:type="dxa" w:w="1928"/>
          </w:tcPr>
          <w:p>
            <w:pPr>
              <w:spacing w:after="20" w:before="20"/>
            </w:pPr>
            <w:r/>
            <w:r>
              <w:rPr>
                <w:rFonts w:ascii="Arial" w:hAnsi="Arial"/>
                <w:b w:val="0"/>
                <w:sz w:val="17"/>
              </w:rPr>
              <w:t>M4</w:t>
            </w:r>
          </w:p>
        </w:tc>
      </w:tr>
      <w:tr>
        <w:tc>
          <w:tcPr>
            <w:tcW w:type="dxa" w:w="2608"/>
          </w:tcPr>
          <w:p>
            <w:pPr>
              <w:spacing w:after="20" w:before="20"/>
            </w:pPr>
            <w:r/>
            <w:r>
              <w:rPr>
                <w:rFonts w:ascii="Arial" w:hAnsi="Arial"/>
                <w:b w:val="0"/>
                <w:sz w:val="17"/>
              </w:rPr>
              <w:t>3 FormaPlanner</w:t>
            </w:r>
          </w:p>
        </w:tc>
        <w:tc>
          <w:tcPr>
            <w:tcW w:type="dxa" w:w="1134"/>
          </w:tcPr>
          <w:p>
            <w:pPr>
              <w:spacing w:after="20" w:before="20"/>
            </w:pPr>
            <w:r/>
            <w:r>
              <w:rPr>
                <w:rFonts w:ascii="Arial" w:hAnsi="Arial"/>
                <w:b w:val="0"/>
                <w:sz w:val="17"/>
              </w:rPr>
              <w:t>Itératif</w:t>
            </w:r>
          </w:p>
        </w:tc>
        <w:tc>
          <w:tcPr>
            <w:tcW w:type="dxa" w:w="4082"/>
          </w:tcPr>
          <w:p>
            <w:pPr>
              <w:spacing w:after="20" w:before="20"/>
            </w:pPr>
            <w:r/>
            <w:r>
              <w:rPr>
                <w:rFonts w:ascii="Arial" w:hAnsi="Arial"/>
                <w:b w:val="0"/>
                <w:sz w:val="17"/>
              </w:rPr>
              <w:t>Application en service, données collectées</w:t>
            </w:r>
          </w:p>
        </w:tc>
        <w:tc>
          <w:tcPr>
            <w:tcW w:type="dxa" w:w="1928"/>
          </w:tcPr>
          <w:p>
            <w:pPr>
              <w:spacing w:after="20" w:before="20"/>
            </w:pPr>
            <w:r/>
            <w:r>
              <w:rPr>
                <w:rFonts w:ascii="Arial" w:hAnsi="Arial"/>
                <w:b w:val="0"/>
                <w:sz w:val="17"/>
              </w:rPr>
              <w:t>F2, F3, F4</w:t>
            </w:r>
          </w:p>
        </w:tc>
      </w:tr>
      <w:tr>
        <w:tc>
          <w:tcPr>
            <w:tcW w:type="dxa" w:w="2608"/>
          </w:tcPr>
          <w:p>
            <w:pPr>
              <w:spacing w:after="20" w:before="20"/>
            </w:pPr>
            <w:r/>
            <w:r>
              <w:rPr>
                <w:rFonts w:ascii="Arial" w:hAnsi="Arial"/>
                <w:b w:val="0"/>
                <w:sz w:val="17"/>
              </w:rPr>
              <w:t>4 Production documentaire</w:t>
            </w:r>
          </w:p>
        </w:tc>
        <w:tc>
          <w:tcPr>
            <w:tcW w:type="dxa" w:w="1134"/>
          </w:tcPr>
          <w:p>
            <w:pPr>
              <w:spacing w:after="20" w:before="20"/>
            </w:pPr>
            <w:r/>
            <w:r>
              <w:rPr>
                <w:rFonts w:ascii="Arial" w:hAnsi="Arial"/>
                <w:b w:val="0"/>
                <w:sz w:val="17"/>
              </w:rPr>
              <w:t>Prédictif</w:t>
            </w:r>
          </w:p>
        </w:tc>
        <w:tc>
          <w:tcPr>
            <w:tcW w:type="dxa" w:w="4082"/>
          </w:tcPr>
          <w:p>
            <w:pPr>
              <w:spacing w:after="20" w:before="20"/>
            </w:pPr>
            <w:r/>
            <w:r>
              <w:rPr>
                <w:rFonts w:ascii="Arial" w:hAnsi="Arial"/>
                <w:b w:val="0"/>
                <w:sz w:val="17"/>
              </w:rPr>
              <w:t>Fiches modules, fiches projet fil rouge, plannings</w:t>
            </w:r>
          </w:p>
        </w:tc>
        <w:tc>
          <w:tcPr>
            <w:tcW w:type="dxa" w:w="1928"/>
          </w:tcPr>
          <w:p>
            <w:pPr>
              <w:spacing w:after="20" w:before="20"/>
            </w:pPr>
            <w:r/>
            <w:r>
              <w:rPr>
                <w:rFonts w:ascii="Arial" w:hAnsi="Arial"/>
                <w:b w:val="0"/>
                <w:sz w:val="17"/>
              </w:rPr>
              <w:t>M5</w:t>
            </w:r>
          </w:p>
        </w:tc>
      </w:tr>
      <w:tr>
        <w:tc>
          <w:tcPr>
            <w:tcW w:type="dxa" w:w="2608"/>
          </w:tcPr>
          <w:p>
            <w:pPr>
              <w:spacing w:after="20" w:before="20"/>
            </w:pPr>
            <w:r/>
            <w:r>
              <w:rPr>
                <w:rFonts w:ascii="Arial" w:hAnsi="Arial"/>
                <w:b w:val="0"/>
                <w:sz w:val="17"/>
              </w:rPr>
              <w:t>5 Pilotage et communication</w:t>
            </w:r>
          </w:p>
        </w:tc>
        <w:tc>
          <w:tcPr>
            <w:tcW w:type="dxa" w:w="1134"/>
          </w:tcPr>
          <w:p>
            <w:pPr>
              <w:spacing w:after="20" w:before="20"/>
            </w:pPr>
            <w:r/>
            <w:r>
              <w:rPr>
                <w:rFonts w:ascii="Arial" w:hAnsi="Arial"/>
                <w:b w:val="0"/>
                <w:sz w:val="17"/>
              </w:rPr>
              <w:t>Continu</w:t>
            </w:r>
          </w:p>
        </w:tc>
        <w:tc>
          <w:tcPr>
            <w:tcW w:type="dxa" w:w="4082"/>
          </w:tcPr>
          <w:p>
            <w:pPr>
              <w:spacing w:after="20" w:before="20"/>
            </w:pPr>
            <w:r/>
            <w:r>
              <w:rPr>
                <w:rFonts w:ascii="Arial" w:hAnsi="Arial"/>
                <w:b w:val="0"/>
                <w:sz w:val="17"/>
              </w:rPr>
              <w:t>Comptes rendus, tableau de bord, décisions tracées</w:t>
            </w:r>
          </w:p>
        </w:tc>
        <w:tc>
          <w:tcPr>
            <w:tcW w:type="dxa" w:w="1928"/>
          </w:tcPr>
          <w:p>
            <w:pPr>
              <w:spacing w:after="20" w:before="20"/>
            </w:pPr>
            <w:r/>
            <w:r>
              <w:rPr>
                <w:rFonts w:ascii="Arial" w:hAnsi="Arial"/>
                <w:b w:val="0"/>
                <w:sz w:val="17"/>
              </w:rPr>
              <w:t>continu</w:t>
            </w:r>
          </w:p>
        </w:tc>
      </w:tr>
      <w:tr>
        <w:tc>
          <w:tcPr>
            <w:tcW w:type="dxa" w:w="2608"/>
          </w:tcPr>
          <w:p>
            <w:pPr>
              <w:spacing w:after="20" w:before="20"/>
            </w:pPr>
            <w:r/>
            <w:r>
              <w:rPr>
                <w:rFonts w:ascii="Arial" w:hAnsi="Arial"/>
                <w:b w:val="0"/>
                <w:sz w:val="17"/>
              </w:rPr>
              <w:t>6 Clôture</w:t>
            </w:r>
          </w:p>
        </w:tc>
        <w:tc>
          <w:tcPr>
            <w:tcW w:type="dxa" w:w="1134"/>
          </w:tcPr>
          <w:p>
            <w:pPr>
              <w:spacing w:after="20" w:before="20"/>
            </w:pPr>
            <w:r/>
            <w:r>
              <w:rPr>
                <w:rFonts w:ascii="Arial" w:hAnsi="Arial"/>
                <w:b w:val="0"/>
                <w:sz w:val="17"/>
              </w:rPr>
              <w:t>Prédictif</w:t>
            </w:r>
          </w:p>
        </w:tc>
        <w:tc>
          <w:tcPr>
            <w:tcW w:type="dxa" w:w="4082"/>
          </w:tcPr>
          <w:p>
            <w:pPr>
              <w:spacing w:after="20" w:before="20"/>
            </w:pPr>
            <w:r/>
            <w:r>
              <w:rPr>
                <w:rFonts w:ascii="Arial" w:hAnsi="Arial"/>
                <w:b w:val="0"/>
                <w:sz w:val="17"/>
              </w:rPr>
              <w:t>Réception, bilan, plan de recrutement</w:t>
            </w:r>
          </w:p>
        </w:tc>
        <w:tc>
          <w:tcPr>
            <w:tcW w:type="dxa" w:w="1928"/>
          </w:tcPr>
          <w:p>
            <w:pPr>
              <w:spacing w:after="20" w:before="20"/>
            </w:pPr>
            <w:r/>
            <w:r>
              <w:rPr>
                <w:rFonts w:ascii="Arial" w:hAnsi="Arial"/>
                <w:b w:val="0"/>
                <w:sz w:val="17"/>
              </w:rPr>
              <w:t>M6</w:t>
            </w:r>
          </w:p>
        </w:tc>
      </w:tr>
    </w:tbl>
    <w:p>
      <w:pPr>
        <w:spacing w:before="0" w:after="120"/>
      </w:pPr>
    </w:p>
    <w:p>
      <w:pPr>
        <w:spacing w:before="80" w:after="40"/>
        <w:jc w:val="center"/>
      </w:pPr>
      <w:r>
        <w:drawing>
          <wp:inline xmlns:a="http://schemas.openxmlformats.org/drawingml/2006/main" xmlns:pic="http://schemas.openxmlformats.org/drawingml/2006/picture">
            <wp:extent cx="5832000" cy="3512223"/>
            <wp:docPr id="1" name="Picture 1"/>
            <wp:cNvGraphicFramePr>
              <a:graphicFrameLocks noChangeAspect="1"/>
            </wp:cNvGraphicFramePr>
            <a:graphic>
              <a:graphicData uri="http://schemas.openxmlformats.org/drawingml/2006/picture">
                <pic:pic>
                  <pic:nvPicPr>
                    <pic:cNvPr id="0" name="06-Macro_planning_B1B2_p1.png"/>
                    <pic:cNvPicPr/>
                  </pic:nvPicPr>
                  <pic:blipFill>
                    <a:blip r:embed="rId11"/>
                    <a:stretch>
                      <a:fillRect/>
                    </a:stretch>
                  </pic:blipFill>
                  <pic:spPr>
                    <a:xfrm>
                      <a:off x="0" y="0"/>
                      <a:ext cx="5832000" cy="3512223"/>
                    </a:xfrm>
                    <a:prstGeom prst="rect"/>
                  </pic:spPr>
                </pic:pic>
              </a:graphicData>
            </a:graphic>
          </wp:inline>
        </w:drawing>
      </w:r>
    </w:p>
    <w:p>
      <w:pPr>
        <w:spacing w:before="0" w:after="20"/>
        <w:jc w:val="center"/>
      </w:pPr>
      <w:r>
        <w:rPr>
          <w:rFonts w:ascii="Arial" w:hAnsi="Arial"/>
          <w:b w:val="0"/>
          <w:i/>
          <w:color w:val="606060"/>
          <w:sz w:val="16"/>
        </w:rPr>
        <w:t>Figure 1  ·  Les six phases et les onze jalons dans le temps, du démarrage à la mise en service</w:t>
      </w:r>
    </w:p>
    <w:p>
      <w:pPr>
        <w:spacing w:before="0" w:after="160"/>
        <w:jc w:val="center"/>
      </w:pPr>
      <w:r>
        <w:rPr>
          <w:rFonts w:ascii="Arial" w:hAnsi="Arial"/>
          <w:b w:val="0"/>
          <w:i/>
          <w:color w:val="606060"/>
          <w:sz w:val="15"/>
        </w:rPr>
        <w:t>Extrait de : macro-planning, version V3.0 du 14 août 2026. Le document complet figure en annexe.</w:t>
      </w:r>
    </w:p>
    <w:p>
      <w:pPr>
        <w:spacing w:before="120" w:after="40"/>
      </w:pPr>
      <w:r>
        <w:rPr>
          <w:rFonts w:ascii="Arial" w:hAnsi="Arial"/>
          <w:b/>
          <w:i w:val="0"/>
          <w:color w:val="1F3864"/>
          <w:sz w:val="21"/>
        </w:rPr>
        <w:t>2.3  Facteurs clés de succès</w:t>
      </w:r>
    </w:p>
    <w:p>
      <w:pPr>
        <w:spacing w:before="0" w:after="100"/>
      </w:pPr>
      <w:r>
        <w:rPr>
          <w:rFonts w:ascii="Arial" w:hAnsi="Arial"/>
          <w:b w:val="0"/>
          <w:i w:val="0"/>
          <w:color w:val="212121"/>
          <w:sz w:val="19"/>
        </w:rPr>
        <w:t>Quatre conditions décident de la réussite. L'appropriation par les formateurs, sans laquelle le cadre reste un document. La tenue de la date de rentrée, qui n'est pas négociable puisque la promotion est déjà recrutée. La disponibilité de la responsable pédagogique, seule autorité de validation. Et la capacité du chef de projet à produire beaucoup avec peu de temps, ce qui commande l'outillage de la production.</w:t>
      </w:r>
    </w:p>
    <w:p>
      <w:pPr>
        <w:spacing w:before="80" w:after="40"/>
        <w:jc w:val="center"/>
      </w:pPr>
      <w:r>
        <w:drawing>
          <wp:inline xmlns:a="http://schemas.openxmlformats.org/drawingml/2006/main" xmlns:pic="http://schemas.openxmlformats.org/drawingml/2006/picture">
            <wp:extent cx="5544000" cy="8603660"/>
            <wp:docPr id="2" name="Picture 2"/>
            <wp:cNvGraphicFramePr>
              <a:graphicFrameLocks noChangeAspect="1"/>
            </wp:cNvGraphicFramePr>
            <a:graphic>
              <a:graphicData uri="http://schemas.openxmlformats.org/drawingml/2006/picture">
                <pic:pic>
                  <pic:nvPicPr>
                    <pic:cNvPr id="0" name="A4_Matrice_SWOT_B1B2_p1.png"/>
                    <pic:cNvPicPr/>
                  </pic:nvPicPr>
                  <pic:blipFill>
                    <a:blip r:embed="rId12"/>
                    <a:stretch>
                      <a:fillRect/>
                    </a:stretch>
                  </pic:blipFill>
                  <pic:spPr>
                    <a:xfrm>
                      <a:off x="0" y="0"/>
                      <a:ext cx="5544000" cy="8603660"/>
                    </a:xfrm>
                    <a:prstGeom prst="rect"/>
                  </pic:spPr>
                </pic:pic>
              </a:graphicData>
            </a:graphic>
          </wp:inline>
        </w:drawing>
      </w:r>
    </w:p>
    <w:p>
      <w:pPr>
        <w:spacing w:before="0" w:after="20"/>
        <w:jc w:val="center"/>
      </w:pPr>
      <w:r>
        <w:rPr>
          <w:rFonts w:ascii="Arial" w:hAnsi="Arial"/>
          <w:b w:val="0"/>
          <w:i/>
          <w:color w:val="606060"/>
          <w:sz w:val="16"/>
        </w:rPr>
        <w:t>Figure 2  ·  Forces, faiblesses, opportunités et menaces analysées à l'ouverture du projet</w:t>
      </w:r>
    </w:p>
    <w:p>
      <w:pPr>
        <w:spacing w:before="0" w:after="160"/>
        <w:jc w:val="center"/>
      </w:pPr>
      <w:r>
        <w:rPr>
          <w:rFonts w:ascii="Arial" w:hAnsi="Arial"/>
          <w:b w:val="0"/>
          <w:i/>
          <w:color w:val="606060"/>
          <w:sz w:val="15"/>
        </w:rPr>
        <w:t>Extrait de : matrice SWOT, version V2.0 du 20 août 2026. Le document complet figure en annexe.</w:t>
      </w:r>
    </w:p>
    <w:p>
      <w:pPr>
        <w:spacing w:before="200" w:after="80"/>
      </w:pPr>
      <w:r>
        <w:rPr>
          <w:rFonts w:ascii="Arial" w:hAnsi="Arial"/>
          <w:b/>
          <w:i w:val="0"/>
          <w:color w:val="1F3864"/>
          <w:sz w:val="26"/>
        </w:rPr>
        <w:t>3.  Description de l'application</w:t>
      </w:r>
    </w:p>
    <w:p>
      <w:pPr>
        <w:spacing w:before="120" w:after="40"/>
      </w:pPr>
      <w:r>
        <w:rPr>
          <w:rFonts w:ascii="Arial" w:hAnsi="Arial"/>
          <w:b/>
          <w:i w:val="0"/>
          <w:color w:val="1F3864"/>
          <w:sz w:val="21"/>
        </w:rPr>
        <w:t>3.1  Objet</w:t>
      </w:r>
    </w:p>
    <w:p>
      <w:pPr>
        <w:spacing w:before="0" w:after="100"/>
      </w:pPr>
      <w:r>
        <w:rPr>
          <w:rFonts w:ascii="Arial" w:hAnsi="Arial"/>
          <w:b w:val="0"/>
          <w:i w:val="0"/>
          <w:color w:val="212121"/>
          <w:sz w:val="19"/>
        </w:rPr>
        <w:t>FormaPlanner couvre ce que l'outil de gestion en place ne fait pas : la collecte en ligne des disponibilités et des auto-évaluations de compétences des formateurs, leur consolidation, l'appariement entre formateurs et modules, la planification annuelle et la centralisation des fiches. L'application est accessible depuis un ordinateur, une tablette ou un téléphone, et isole les données par centre.</w:t>
      </w:r>
    </w:p>
    <w:p>
      <w:pPr>
        <w:spacing w:before="120" w:after="40"/>
      </w:pPr>
      <w:r>
        <w:rPr>
          <w:rFonts w:ascii="Arial" w:hAnsi="Arial"/>
          <w:b/>
          <w:i w:val="0"/>
          <w:color w:val="1F3864"/>
          <w:sz w:val="21"/>
        </w:rPr>
        <w:t>3.2  Cycle de développement</w:t>
      </w:r>
    </w:p>
    <w:p>
      <w:pPr>
        <w:spacing w:before="0" w:after="100"/>
      </w:pPr>
      <w:r>
        <w:rPr>
          <w:rFonts w:ascii="Arial" w:hAnsi="Arial"/>
          <w:b w:val="0"/>
          <w:i w:val="0"/>
          <w:color w:val="212121"/>
          <w:sz w:val="19"/>
        </w:rPr>
        <w:t>Itérations courtes, chacune se terminant par une mise à disposition réelle. Une première version a servi à collecter, avant que la planification et l'appariement ne soient développés. La recette a été confiée à la responsable pédagogique, futur utilisateur principal, plutôt qu'au développeur.</w:t>
      </w:r>
    </w:p>
    <w:p>
      <w:pPr>
        <w:spacing w:before="120" w:after="40"/>
      </w:pPr>
      <w:r>
        <w:rPr>
          <w:rFonts w:ascii="Arial" w:hAnsi="Arial"/>
          <w:b/>
          <w:i w:val="0"/>
          <w:color w:val="1F3864"/>
          <w:sz w:val="21"/>
        </w:rPr>
        <w:t>3.3  Choix techniques et outillage</w:t>
      </w:r>
    </w:p>
    <w:p>
      <w:pPr>
        <w:spacing w:before="0" w:after="100"/>
      </w:pPr>
      <w:r>
        <w:rPr>
          <w:rFonts w:ascii="Arial" w:hAnsi="Arial"/>
          <w:b w:val="0"/>
          <w:i w:val="0"/>
          <w:color w:val="212121"/>
          <w:sz w:val="19"/>
        </w:rPr>
        <w:t>L'application est développée en interne, décision prise après comparaison avec deux autres voies : maintenir le processus par fichiers, ou demander une extension de l'outil en place. Le développement est assisté par des outils d'intelligence artificielle, sous revue humaine systématique : aucune production n'est mise en service sans relecture et sans contrôle. Le même principe gouverne la chaîne de production documentaire, où la génération est automatisée et la validation reste humaine.</w:t>
      </w:r>
    </w:p>
    <w:p>
      <w:pPr>
        <w:spacing w:before="200" w:after="80"/>
      </w:pPr>
      <w:r>
        <w:rPr>
          <w:rFonts w:ascii="Arial" w:hAnsi="Arial"/>
          <w:b/>
          <w:i w:val="0"/>
          <w:color w:val="1F3864"/>
          <w:sz w:val="26"/>
        </w:rPr>
        <w:t>4.  Cadre de management</w:t>
      </w:r>
    </w:p>
    <w:p>
      <w:pPr>
        <w:spacing w:before="120" w:after="40"/>
      </w:pPr>
      <w:r>
        <w:rPr>
          <w:rFonts w:ascii="Arial" w:hAnsi="Arial"/>
          <w:b/>
          <w:i w:val="0"/>
          <w:color w:val="1F3864"/>
          <w:sz w:val="21"/>
        </w:rPr>
        <w:t>4.1  Processus de management retenus</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1587"/>
            <w:shd w:val="clear" w:fill="1F3864"/>
          </w:tcPr>
          <w:p>
            <w:pPr>
              <w:spacing w:after="20" w:before="20"/>
            </w:pPr>
            <w:r/>
            <w:r>
              <w:rPr>
                <w:rFonts w:ascii="Arial" w:hAnsi="Arial"/>
                <w:b/>
                <w:color w:val="FFFFFF"/>
                <w:sz w:val="16"/>
              </w:rPr>
              <w:t>Domaine</w:t>
            </w:r>
          </w:p>
        </w:tc>
        <w:tc>
          <w:tcPr>
            <w:tcW w:type="dxa" w:w="4535"/>
            <w:shd w:val="clear" w:fill="1F3864"/>
          </w:tcPr>
          <w:p>
            <w:pPr>
              <w:spacing w:after="20" w:before="20"/>
            </w:pPr>
            <w:r/>
            <w:r>
              <w:rPr>
                <w:rFonts w:ascii="Arial" w:hAnsi="Arial"/>
                <w:b/>
                <w:color w:val="FFFFFF"/>
                <w:sz w:val="16"/>
              </w:rPr>
              <w:t>Processus mis en œuvre</w:t>
            </w:r>
          </w:p>
        </w:tc>
        <w:tc>
          <w:tcPr>
            <w:tcW w:type="dxa" w:w="3628"/>
            <w:shd w:val="clear" w:fill="1F3864"/>
          </w:tcPr>
          <w:p>
            <w:pPr>
              <w:spacing w:after="20" w:before="20"/>
            </w:pPr>
            <w:r/>
            <w:r>
              <w:rPr>
                <w:rFonts w:ascii="Arial" w:hAnsi="Arial"/>
                <w:b/>
                <w:color w:val="FFFFFF"/>
                <w:sz w:val="16"/>
              </w:rPr>
              <w:t>Ce qui a été écarté</w:t>
            </w:r>
          </w:p>
        </w:tc>
      </w:tr>
      <w:tr>
        <w:tc>
          <w:tcPr>
            <w:tcW w:type="dxa" w:w="1587"/>
          </w:tcPr>
          <w:p>
            <w:pPr>
              <w:spacing w:after="20" w:before="20"/>
            </w:pPr>
            <w:r/>
            <w:r>
              <w:rPr>
                <w:rFonts w:ascii="Arial" w:hAnsi="Arial"/>
                <w:b w:val="0"/>
                <w:sz w:val="16"/>
              </w:rPr>
              <w:t>Intégration</w:t>
            </w:r>
          </w:p>
        </w:tc>
        <w:tc>
          <w:tcPr>
            <w:tcW w:type="dxa" w:w="4535"/>
          </w:tcPr>
          <w:p>
            <w:pPr>
              <w:spacing w:after="20" w:before="20"/>
            </w:pPr>
            <w:r/>
            <w:r>
              <w:rPr>
                <w:rFonts w:ascii="Arial" w:hAnsi="Arial"/>
                <w:b w:val="0"/>
                <w:sz w:val="16"/>
              </w:rPr>
              <w:t>Charte, plan de management, gestion des changements, clôture formelle</w:t>
            </w:r>
          </w:p>
        </w:tc>
        <w:tc>
          <w:tcPr>
            <w:tcW w:type="dxa" w:w="3628"/>
          </w:tcPr>
          <w:p>
            <w:pPr>
              <w:spacing w:after="20" w:before="20"/>
            </w:pPr>
            <w:r/>
            <w:r>
              <w:rPr>
                <w:rFonts w:ascii="Arial" w:hAnsi="Arial"/>
                <w:b w:val="0"/>
                <w:sz w:val="16"/>
              </w:rPr>
              <w:t>Néant</w:t>
            </w:r>
          </w:p>
        </w:tc>
      </w:tr>
      <w:tr>
        <w:tc>
          <w:tcPr>
            <w:tcW w:type="dxa" w:w="1587"/>
          </w:tcPr>
          <w:p>
            <w:pPr>
              <w:spacing w:after="20" w:before="20"/>
            </w:pPr>
            <w:r/>
            <w:r>
              <w:rPr>
                <w:rFonts w:ascii="Arial" w:hAnsi="Arial"/>
                <w:b w:val="0"/>
                <w:sz w:val="16"/>
              </w:rPr>
              <w:t>Périmètre</w:t>
            </w:r>
          </w:p>
        </w:tc>
        <w:tc>
          <w:tcPr>
            <w:tcW w:type="dxa" w:w="4535"/>
          </w:tcPr>
          <w:p>
            <w:pPr>
              <w:spacing w:after="20" w:before="20"/>
            </w:pPr>
            <w:r/>
            <w:r>
              <w:rPr>
                <w:rFonts w:ascii="Arial" w:hAnsi="Arial"/>
                <w:b w:val="0"/>
                <w:sz w:val="16"/>
              </w:rPr>
              <w:t>Recueil des exigences, définition du périmètre, WBS, réception des livrables</w:t>
            </w:r>
          </w:p>
        </w:tc>
        <w:tc>
          <w:tcPr>
            <w:tcW w:type="dxa" w:w="3628"/>
          </w:tcPr>
          <w:p>
            <w:pPr>
              <w:spacing w:after="20" w:before="20"/>
            </w:pPr>
            <w:r/>
            <w:r>
              <w:rPr>
                <w:rFonts w:ascii="Arial" w:hAnsi="Arial"/>
                <w:b w:val="0"/>
                <w:sz w:val="16"/>
              </w:rPr>
              <w:t>Néant</w:t>
            </w:r>
          </w:p>
        </w:tc>
      </w:tr>
      <w:tr>
        <w:tc>
          <w:tcPr>
            <w:tcW w:type="dxa" w:w="1587"/>
          </w:tcPr>
          <w:p>
            <w:pPr>
              <w:spacing w:after="20" w:before="20"/>
            </w:pPr>
            <w:r/>
            <w:r>
              <w:rPr>
                <w:rFonts w:ascii="Arial" w:hAnsi="Arial"/>
                <w:b w:val="0"/>
                <w:sz w:val="16"/>
              </w:rPr>
              <w:t>Échéancier</w:t>
            </w:r>
          </w:p>
        </w:tc>
        <w:tc>
          <w:tcPr>
            <w:tcW w:type="dxa" w:w="4535"/>
          </w:tcPr>
          <w:p>
            <w:pPr>
              <w:spacing w:after="20" w:before="20"/>
            </w:pPr>
            <w:r/>
            <w:r>
              <w:rPr>
                <w:rFonts w:ascii="Arial" w:hAnsi="Arial"/>
                <w:b w:val="0"/>
                <w:sz w:val="16"/>
              </w:rPr>
              <w:t>Découpage en activités, ordonnancement, estimation des durées, planification, maîtrise</w:t>
            </w:r>
          </w:p>
        </w:tc>
        <w:tc>
          <w:tcPr>
            <w:tcW w:type="dxa" w:w="3628"/>
          </w:tcPr>
          <w:p>
            <w:pPr>
              <w:spacing w:after="20" w:before="20"/>
            </w:pPr>
            <w:r/>
            <w:r>
              <w:rPr>
                <w:rFonts w:ascii="Arial" w:hAnsi="Arial"/>
                <w:b w:val="0"/>
                <w:sz w:val="16"/>
              </w:rPr>
              <w:t>Nivellement des ressources : une seule ressource principale</w:t>
            </w:r>
          </w:p>
        </w:tc>
      </w:tr>
      <w:tr>
        <w:tc>
          <w:tcPr>
            <w:tcW w:type="dxa" w:w="1587"/>
          </w:tcPr>
          <w:p>
            <w:pPr>
              <w:spacing w:after="20" w:before="20"/>
            </w:pPr>
            <w:r/>
            <w:r>
              <w:rPr>
                <w:rFonts w:ascii="Arial" w:hAnsi="Arial"/>
                <w:b w:val="0"/>
                <w:sz w:val="16"/>
              </w:rPr>
              <w:t>Coûts</w:t>
            </w:r>
          </w:p>
        </w:tc>
        <w:tc>
          <w:tcPr>
            <w:tcW w:type="dxa" w:w="4535"/>
          </w:tcPr>
          <w:p>
            <w:pPr>
              <w:spacing w:after="20" w:before="20"/>
            </w:pPr>
            <w:r/>
            <w:r>
              <w:rPr>
                <w:rFonts w:ascii="Arial" w:hAnsi="Arial"/>
                <w:b w:val="0"/>
                <w:sz w:val="16"/>
              </w:rPr>
              <w:t>Estimation, budgétisation, maîtrise des coûts</w:t>
            </w:r>
          </w:p>
        </w:tc>
        <w:tc>
          <w:tcPr>
            <w:tcW w:type="dxa" w:w="3628"/>
          </w:tcPr>
          <w:p>
            <w:pPr>
              <w:spacing w:after="20" w:before="20"/>
            </w:pPr>
            <w:r/>
            <w:r>
              <w:rPr>
                <w:rFonts w:ascii="Arial" w:hAnsi="Arial"/>
                <w:b w:val="0"/>
                <w:sz w:val="16"/>
              </w:rPr>
              <w:t>Analyse de la valeur acquise détaillée, sans objet à cette échelle</w:t>
            </w:r>
          </w:p>
        </w:tc>
      </w:tr>
      <w:tr>
        <w:tc>
          <w:tcPr>
            <w:tcW w:type="dxa" w:w="1587"/>
          </w:tcPr>
          <w:p>
            <w:pPr>
              <w:spacing w:after="20" w:before="20"/>
            </w:pPr>
            <w:r/>
            <w:r>
              <w:rPr>
                <w:rFonts w:ascii="Arial" w:hAnsi="Arial"/>
                <w:b w:val="0"/>
                <w:sz w:val="16"/>
              </w:rPr>
              <w:t>Qualité</w:t>
            </w:r>
          </w:p>
        </w:tc>
        <w:tc>
          <w:tcPr>
            <w:tcW w:type="dxa" w:w="4535"/>
          </w:tcPr>
          <w:p>
            <w:pPr>
              <w:spacing w:after="20" w:before="20"/>
            </w:pPr>
            <w:r/>
            <w:r>
              <w:rPr>
                <w:rFonts w:ascii="Arial" w:hAnsi="Arial"/>
                <w:b w:val="0"/>
                <w:sz w:val="16"/>
              </w:rPr>
              <w:t>Planification, contrôles automatisés, revue d'expert</w:t>
            </w:r>
          </w:p>
        </w:tc>
        <w:tc>
          <w:tcPr>
            <w:tcW w:type="dxa" w:w="3628"/>
          </w:tcPr>
          <w:p>
            <w:pPr>
              <w:spacing w:after="20" w:before="20"/>
            </w:pPr>
            <w:r/>
            <w:r>
              <w:rPr>
                <w:rFonts w:ascii="Arial" w:hAnsi="Arial"/>
                <w:b w:val="0"/>
                <w:sz w:val="16"/>
              </w:rPr>
              <w:t>Audit qualité formel</w:t>
            </w:r>
          </w:p>
        </w:tc>
      </w:tr>
      <w:tr>
        <w:tc>
          <w:tcPr>
            <w:tcW w:type="dxa" w:w="1587"/>
          </w:tcPr>
          <w:p>
            <w:pPr>
              <w:spacing w:after="20" w:before="20"/>
            </w:pPr>
            <w:r/>
            <w:r>
              <w:rPr>
                <w:rFonts w:ascii="Arial" w:hAnsi="Arial"/>
                <w:b w:val="0"/>
                <w:sz w:val="16"/>
              </w:rPr>
              <w:t>Ressources</w:t>
            </w:r>
          </w:p>
        </w:tc>
        <w:tc>
          <w:tcPr>
            <w:tcW w:type="dxa" w:w="4535"/>
          </w:tcPr>
          <w:p>
            <w:pPr>
              <w:spacing w:after="20" w:before="20"/>
            </w:pPr>
            <w:r/>
            <w:r>
              <w:rPr>
                <w:rFonts w:ascii="Arial" w:hAnsi="Arial"/>
                <w:b w:val="0"/>
                <w:sz w:val="16"/>
              </w:rPr>
              <w:t>Estimation, matrice des compétences, développement de l'équipe</w:t>
            </w:r>
          </w:p>
        </w:tc>
        <w:tc>
          <w:tcPr>
            <w:tcW w:type="dxa" w:w="3628"/>
          </w:tcPr>
          <w:p>
            <w:pPr>
              <w:spacing w:after="20" w:before="20"/>
            </w:pPr>
            <w:r/>
            <w:r>
              <w:rPr>
                <w:rFonts w:ascii="Arial" w:hAnsi="Arial"/>
                <w:b w:val="0"/>
                <w:sz w:val="16"/>
              </w:rPr>
              <w:t>Acquisition : aucun recrutement pendant le projet</w:t>
            </w:r>
          </w:p>
        </w:tc>
      </w:tr>
      <w:tr>
        <w:tc>
          <w:tcPr>
            <w:tcW w:type="dxa" w:w="1587"/>
          </w:tcPr>
          <w:p>
            <w:pPr>
              <w:spacing w:after="20" w:before="20"/>
            </w:pPr>
            <w:r/>
            <w:r>
              <w:rPr>
                <w:rFonts w:ascii="Arial" w:hAnsi="Arial"/>
                <w:b w:val="0"/>
                <w:sz w:val="16"/>
              </w:rPr>
              <w:t>Communications</w:t>
            </w:r>
          </w:p>
        </w:tc>
        <w:tc>
          <w:tcPr>
            <w:tcW w:type="dxa" w:w="4535"/>
          </w:tcPr>
          <w:p>
            <w:pPr>
              <w:spacing w:after="20" w:before="20"/>
            </w:pPr>
            <w:r/>
            <w:r>
              <w:rPr>
                <w:rFonts w:ascii="Arial" w:hAnsi="Arial"/>
                <w:b w:val="0"/>
                <w:sz w:val="16"/>
              </w:rPr>
              <w:t>Planification, diffusion, suivi</w:t>
            </w:r>
          </w:p>
        </w:tc>
        <w:tc>
          <w:tcPr>
            <w:tcW w:type="dxa" w:w="3628"/>
          </w:tcPr>
          <w:p>
            <w:pPr>
              <w:spacing w:after="20" w:before="20"/>
            </w:pPr>
            <w:r/>
            <w:r>
              <w:rPr>
                <w:rFonts w:ascii="Arial" w:hAnsi="Arial"/>
                <w:b w:val="0"/>
                <w:sz w:val="16"/>
              </w:rPr>
              <w:t>Néant</w:t>
            </w:r>
          </w:p>
        </w:tc>
      </w:tr>
      <w:tr>
        <w:tc>
          <w:tcPr>
            <w:tcW w:type="dxa" w:w="1587"/>
          </w:tcPr>
          <w:p>
            <w:pPr>
              <w:spacing w:after="20" w:before="20"/>
            </w:pPr>
            <w:r/>
            <w:r>
              <w:rPr>
                <w:rFonts w:ascii="Arial" w:hAnsi="Arial"/>
                <w:b w:val="0"/>
                <w:sz w:val="16"/>
              </w:rPr>
              <w:t>Risques</w:t>
            </w:r>
          </w:p>
        </w:tc>
        <w:tc>
          <w:tcPr>
            <w:tcW w:type="dxa" w:w="4535"/>
          </w:tcPr>
          <w:p>
            <w:pPr>
              <w:spacing w:after="20" w:before="20"/>
            </w:pPr>
            <w:r/>
            <w:r>
              <w:rPr>
                <w:rFonts w:ascii="Arial" w:hAnsi="Arial"/>
                <w:b w:val="0"/>
                <w:sz w:val="16"/>
              </w:rPr>
              <w:t>Identification, analyse qualitative, réponses, suivi</w:t>
            </w:r>
          </w:p>
        </w:tc>
        <w:tc>
          <w:tcPr>
            <w:tcW w:type="dxa" w:w="3628"/>
          </w:tcPr>
          <w:p>
            <w:pPr>
              <w:spacing w:after="20" w:before="20"/>
            </w:pPr>
            <w:r/>
            <w:r>
              <w:rPr>
                <w:rFonts w:ascii="Arial" w:hAnsi="Arial"/>
                <w:b w:val="0"/>
                <w:sz w:val="16"/>
              </w:rPr>
              <w:t>Analyse quantitative, disproportionnée ici</w:t>
            </w:r>
          </w:p>
        </w:tc>
      </w:tr>
      <w:tr>
        <w:tc>
          <w:tcPr>
            <w:tcW w:type="dxa" w:w="1587"/>
          </w:tcPr>
          <w:p>
            <w:pPr>
              <w:spacing w:after="20" w:before="20"/>
            </w:pPr>
            <w:r/>
            <w:r>
              <w:rPr>
                <w:rFonts w:ascii="Arial" w:hAnsi="Arial"/>
                <w:b w:val="0"/>
                <w:sz w:val="16"/>
              </w:rPr>
              <w:t>Approvisionnements</w:t>
            </w:r>
          </w:p>
        </w:tc>
        <w:tc>
          <w:tcPr>
            <w:tcW w:type="dxa" w:w="4535"/>
          </w:tcPr>
          <w:p>
            <w:pPr>
              <w:spacing w:after="20" w:before="20"/>
            </w:pPr>
            <w:r/>
            <w:r>
              <w:rPr>
                <w:rFonts w:ascii="Arial" w:hAnsi="Arial"/>
                <w:b w:val="0"/>
                <w:sz w:val="16"/>
              </w:rPr>
              <w:t>Décision de faire plutôt qu'acheter</w:t>
            </w:r>
          </w:p>
        </w:tc>
        <w:tc>
          <w:tcPr>
            <w:tcW w:type="dxa" w:w="3628"/>
          </w:tcPr>
          <w:p>
            <w:pPr>
              <w:spacing w:after="20" w:before="20"/>
            </w:pPr>
            <w:r/>
            <w:r>
              <w:rPr>
                <w:rFonts w:ascii="Arial" w:hAnsi="Arial"/>
                <w:b w:val="0"/>
                <w:sz w:val="16"/>
              </w:rPr>
              <w:t>Appel d'offres, contrats : aucun achat</w:t>
            </w:r>
          </w:p>
        </w:tc>
      </w:tr>
      <w:tr>
        <w:tc>
          <w:tcPr>
            <w:tcW w:type="dxa" w:w="1587"/>
          </w:tcPr>
          <w:p>
            <w:pPr>
              <w:spacing w:after="20" w:before="20"/>
            </w:pPr>
            <w:r/>
            <w:r>
              <w:rPr>
                <w:rFonts w:ascii="Arial" w:hAnsi="Arial"/>
                <w:b w:val="0"/>
                <w:sz w:val="16"/>
              </w:rPr>
              <w:t>Parties prenantes</w:t>
            </w:r>
          </w:p>
        </w:tc>
        <w:tc>
          <w:tcPr>
            <w:tcW w:type="dxa" w:w="4535"/>
          </w:tcPr>
          <w:p>
            <w:pPr>
              <w:spacing w:after="20" w:before="20"/>
            </w:pPr>
            <w:r/>
            <w:r>
              <w:rPr>
                <w:rFonts w:ascii="Arial" w:hAnsi="Arial"/>
                <w:b w:val="0"/>
                <w:sz w:val="16"/>
              </w:rPr>
              <w:t>Identification, matrice pouvoir-intérêt, engagement</w:t>
            </w:r>
          </w:p>
        </w:tc>
        <w:tc>
          <w:tcPr>
            <w:tcW w:type="dxa" w:w="3628"/>
          </w:tcPr>
          <w:p>
            <w:pPr>
              <w:spacing w:after="20" w:before="20"/>
            </w:pPr>
            <w:r/>
            <w:r>
              <w:rPr>
                <w:rFonts w:ascii="Arial" w:hAnsi="Arial"/>
                <w:b w:val="0"/>
                <w:sz w:val="16"/>
              </w:rPr>
              <w:t>Néant</w:t>
            </w:r>
          </w:p>
        </w:tc>
      </w:tr>
    </w:tbl>
    <w:p>
      <w:pPr>
        <w:spacing w:before="0" w:after="120"/>
      </w:pPr>
    </w:p>
    <w:p>
      <w:pPr>
        <w:spacing w:before="120" w:after="40"/>
      </w:pPr>
      <w:r>
        <w:rPr>
          <w:rFonts w:ascii="Arial" w:hAnsi="Arial"/>
          <w:b/>
          <w:i w:val="0"/>
          <w:color w:val="1F3864"/>
          <w:sz w:val="21"/>
        </w:rPr>
        <w:t>4.2  Outils et techniques</w:t>
      </w:r>
    </w:p>
    <w:p>
      <w:pPr>
        <w:spacing w:before="0" w:after="100"/>
      </w:pPr>
      <w:r>
        <w:rPr>
          <w:rFonts w:ascii="Arial" w:hAnsi="Arial"/>
          <w:b w:val="0"/>
          <w:i w:val="0"/>
          <w:color w:val="212121"/>
          <w:sz w:val="19"/>
        </w:rPr>
        <w:t>Rétro-conception depuis la cible de fin de cycle, découpage des travaux en lots, ordonnancement par dépendances, priorisation des exigences par degré d'obligation, matrice des responsabilités, matrice pouvoir-intérêt, registre des risques coté probabilité et impact, tableau de bord et rapport d'avancement. La chaîne de production documentaire est outillée de bout en bout, avec des contrôles automatiques de vocabulaire, de cohérence et d'appariement avant toute livraison.</w:t>
      </w:r>
    </w:p>
    <w:p>
      <w:pPr>
        <w:spacing w:before="200" w:after="80"/>
      </w:pPr>
      <w:r>
        <w:rPr>
          <w:rFonts w:ascii="Arial" w:hAnsi="Arial"/>
          <w:b/>
          <w:i w:val="0"/>
          <w:color w:val="1F3864"/>
          <w:sz w:val="26"/>
        </w:rPr>
        <w:t>5.  Management du périmètre</w:t>
      </w:r>
    </w:p>
    <w:p>
      <w:pPr>
        <w:spacing w:before="120" w:after="40"/>
      </w:pPr>
      <w:r>
        <w:rPr>
          <w:rFonts w:ascii="Arial" w:hAnsi="Arial"/>
          <w:b/>
          <w:i w:val="0"/>
          <w:color w:val="1F3864"/>
          <w:sz w:val="21"/>
        </w:rPr>
        <w:t>5.1  Objet</w:t>
      </w:r>
    </w:p>
    <w:p>
      <w:pPr>
        <w:spacing w:before="0" w:after="100"/>
      </w:pPr>
      <w:r>
        <w:rPr>
          <w:rFonts w:ascii="Arial" w:hAnsi="Arial"/>
          <w:b w:val="0"/>
          <w:i w:val="0"/>
          <w:color w:val="212121"/>
          <w:sz w:val="19"/>
        </w:rPr>
        <w:t>Définir ce que le projet produit, ce qu'il ne produit pas, et à quelles conditions un livrable est reçu.</w:t>
      </w:r>
    </w:p>
    <w:p>
      <w:pPr>
        <w:spacing w:before="120" w:after="40"/>
      </w:pPr>
      <w:r>
        <w:rPr>
          <w:rFonts w:ascii="Arial" w:hAnsi="Arial"/>
          <w:b/>
          <w:i w:val="0"/>
          <w:color w:val="1F3864"/>
          <w:sz w:val="21"/>
        </w:rPr>
        <w:t>5.2  Exigences</w:t>
      </w:r>
    </w:p>
    <w:p>
      <w:pPr>
        <w:spacing w:before="0" w:after="100"/>
      </w:pPr>
      <w:r>
        <w:rPr>
          <w:rFonts w:ascii="Arial" w:hAnsi="Arial"/>
          <w:b w:val="0"/>
          <w:i w:val="0"/>
          <w:color w:val="212121"/>
          <w:sz w:val="19"/>
        </w:rPr>
        <w:t>Vingt-quatre exigences recueillies auprès de la direction, de la responsable pédagogique et du chef de projet, priorisées en quatre degrés et rattachées chacune à un lot de travail. Elles figurent dans la matrice des exigences. Une seule est écartée du périmètre et renvoyée à un projet ultérieur : la constitution d'un titre propre à l'établissement.</w:t>
      </w:r>
    </w:p>
    <w:p>
      <w:pPr>
        <w:spacing w:before="80" w:after="40"/>
        <w:jc w:val="center"/>
      </w:pPr>
      <w:r>
        <w:drawing>
          <wp:inline xmlns:a="http://schemas.openxmlformats.org/drawingml/2006/main" xmlns:pic="http://schemas.openxmlformats.org/drawingml/2006/picture">
            <wp:extent cx="5976000" cy="5186717"/>
            <wp:docPr id="3" name="Picture 3"/>
            <wp:cNvGraphicFramePr>
              <a:graphicFrameLocks noChangeAspect="1"/>
            </wp:cNvGraphicFramePr>
            <a:graphic>
              <a:graphicData uri="http://schemas.openxmlformats.org/drawingml/2006/picture">
                <pic:pic>
                  <pic:nvPicPr>
                    <pic:cNvPr id="0" name="10-Matrice_exigences_B1B2_p1.png"/>
                    <pic:cNvPicPr/>
                  </pic:nvPicPr>
                  <pic:blipFill>
                    <a:blip r:embed="rId13"/>
                    <a:stretch>
                      <a:fillRect/>
                    </a:stretch>
                  </pic:blipFill>
                  <pic:spPr>
                    <a:xfrm>
                      <a:off x="0" y="0"/>
                      <a:ext cx="5976000" cy="5186717"/>
                    </a:xfrm>
                    <a:prstGeom prst="rect"/>
                  </pic:spPr>
                </pic:pic>
              </a:graphicData>
            </a:graphic>
          </wp:inline>
        </w:drawing>
      </w:r>
    </w:p>
    <w:p>
      <w:pPr>
        <w:spacing w:before="0" w:after="20"/>
        <w:jc w:val="center"/>
      </w:pPr>
      <w:r>
        <w:rPr>
          <w:rFonts w:ascii="Arial" w:hAnsi="Arial"/>
          <w:b w:val="0"/>
          <w:i/>
          <w:color w:val="606060"/>
          <w:sz w:val="16"/>
        </w:rPr>
        <w:t>Figure 3  ·  Les exigences, leur priorité, leur lot de rattachement et leur statut de fin de projet</w:t>
      </w:r>
    </w:p>
    <w:p>
      <w:pPr>
        <w:spacing w:before="0" w:after="160"/>
        <w:jc w:val="center"/>
      </w:pPr>
      <w:r>
        <w:rPr>
          <w:rFonts w:ascii="Arial" w:hAnsi="Arial"/>
          <w:b w:val="0"/>
          <w:i/>
          <w:color w:val="606060"/>
          <w:sz w:val="15"/>
        </w:rPr>
        <w:t>Extrait de : matrice des exigences, version V2.2 du 14 août 2026. Le document complet figure en annexe.</w:t>
      </w:r>
    </w:p>
    <w:p>
      <w:pPr>
        <w:spacing w:before="120" w:after="40"/>
      </w:pPr>
      <w:r>
        <w:rPr>
          <w:rFonts w:ascii="Arial" w:hAnsi="Arial"/>
          <w:b/>
          <w:i w:val="0"/>
          <w:color w:val="1F3864"/>
          <w:sz w:val="21"/>
        </w:rPr>
        <w:t>5.3  Structure de découpage</w:t>
      </w:r>
    </w:p>
    <w:p>
      <w:pPr>
        <w:spacing w:before="0" w:after="100"/>
      </w:pPr>
      <w:r>
        <w:rPr>
          <w:rFonts w:ascii="Arial" w:hAnsi="Arial"/>
          <w:b w:val="0"/>
          <w:i w:val="0"/>
          <w:color w:val="212121"/>
          <w:sz w:val="19"/>
        </w:rPr>
        <w:t>Six lots, trente-sept tâches, pour une charge de cent quarante-six jours toutes ressources confondues. Le découpage figure dans le WBS, le détail de chaque lot dans le dictionnaire du WBS, et les produits attendus dans le PBS.</w:t>
      </w:r>
    </w:p>
    <w:p>
      <w:pPr>
        <w:spacing w:before="80" w:after="40"/>
        <w:jc w:val="center"/>
      </w:pPr>
      <w:r>
        <w:drawing>
          <wp:inline xmlns:a="http://schemas.openxmlformats.org/drawingml/2006/main" xmlns:pic="http://schemas.openxmlformats.org/drawingml/2006/picture">
            <wp:extent cx="4896000" cy="5865259"/>
            <wp:docPr id="4" name="Picture 4"/>
            <wp:cNvGraphicFramePr>
              <a:graphicFrameLocks noChangeAspect="1"/>
            </wp:cNvGraphicFramePr>
            <a:graphic>
              <a:graphicData uri="http://schemas.openxmlformats.org/drawingml/2006/picture">
                <pic:pic>
                  <pic:nvPicPr>
                    <pic:cNvPr id="0" name="13-WBS_B1B2_p1.png"/>
                    <pic:cNvPicPr/>
                  </pic:nvPicPr>
                  <pic:blipFill>
                    <a:blip r:embed="rId14"/>
                    <a:stretch>
                      <a:fillRect/>
                    </a:stretch>
                  </pic:blipFill>
                  <pic:spPr>
                    <a:xfrm>
                      <a:off x="0" y="0"/>
                      <a:ext cx="4896000" cy="5865259"/>
                    </a:xfrm>
                    <a:prstGeom prst="rect"/>
                  </pic:spPr>
                </pic:pic>
              </a:graphicData>
            </a:graphic>
          </wp:inline>
        </w:drawing>
      </w:r>
    </w:p>
    <w:p>
      <w:pPr>
        <w:spacing w:before="0" w:after="20"/>
        <w:jc w:val="center"/>
      </w:pPr>
      <w:r>
        <w:rPr>
          <w:rFonts w:ascii="Arial" w:hAnsi="Arial"/>
          <w:b w:val="0"/>
          <w:i/>
          <w:color w:val="606060"/>
          <w:sz w:val="16"/>
        </w:rPr>
        <w:t>Figure 4  ·  Le découpage des travaux : six lots, trente-sept tâches, cent quarante-six jours</w:t>
      </w:r>
    </w:p>
    <w:p>
      <w:pPr>
        <w:spacing w:before="0" w:after="160"/>
        <w:jc w:val="center"/>
      </w:pPr>
      <w:r>
        <w:rPr>
          <w:rFonts w:ascii="Arial" w:hAnsi="Arial"/>
          <w:b w:val="0"/>
          <w:i/>
          <w:color w:val="606060"/>
          <w:sz w:val="15"/>
        </w:rPr>
        <w:t>Extrait de : WBS et PBS, version V3.0 du 14 août 2026. Le document complet figure en annexe.</w:t>
      </w:r>
    </w:p>
    <w:p>
      <w:pPr>
        <w:spacing w:before="120" w:after="40"/>
      </w:pPr>
      <w:r>
        <w:rPr>
          <w:rFonts w:ascii="Arial" w:hAnsi="Arial"/>
          <w:b/>
          <w:i w:val="0"/>
          <w:color w:val="1F3864"/>
          <w:sz w:val="21"/>
        </w:rPr>
        <w:t>5.4  Inclusions et exclusions</w:t>
      </w:r>
    </w:p>
    <w:p>
      <w:pPr>
        <w:spacing w:before="0" w:after="100"/>
      </w:pPr>
      <w:r>
        <w:rPr>
          <w:rFonts w:ascii="Arial" w:hAnsi="Arial"/>
          <w:b w:val="0"/>
          <w:i w:val="0"/>
          <w:color w:val="212121"/>
          <w:sz w:val="19"/>
        </w:rPr>
        <w:t>Inclus : les référentiels des deux années, les fiches modules et les fiches projet fil rouge, les matrices de couverture, l'ordonnancement, les plannings, le règlement des examens, l'application et la conduite des consultations. Exclus : le contenu de la troisième année, qui est la cible et non l'objet ; le suivi individuel des étudiants ; la coordination pédagogique quotidienne ; les autres missions de la fiche de poste ; le dépôt d'un titre propre.</w:t>
      </w:r>
    </w:p>
    <w:p>
      <w:pPr>
        <w:spacing w:before="120" w:after="40"/>
      </w:pPr>
      <w:r>
        <w:rPr>
          <w:rFonts w:ascii="Arial" w:hAnsi="Arial"/>
          <w:b/>
          <w:i w:val="0"/>
          <w:color w:val="1F3864"/>
          <w:sz w:val="21"/>
        </w:rPr>
        <w:t>5.5  Maîtrise des changements</w:t>
      </w:r>
    </w:p>
    <w:p>
      <w:pPr>
        <w:spacing w:before="0" w:after="100"/>
      </w:pPr>
      <w:r>
        <w:rPr>
          <w:rFonts w:ascii="Arial" w:hAnsi="Arial"/>
          <w:b w:val="0"/>
          <w:i w:val="0"/>
          <w:color w:val="212121"/>
          <w:sz w:val="19"/>
        </w:rPr>
        <w:t>Toute évolution du périmètre est enregistrée avec sa date, son demandeur, son motif, son incidence sur la charge et le calendrier, et la décision prise. Le chef de projet décide seul des changements sans incidence sur le calendrier ni sur les moyens ; la responsable pédagogique décide de ceux qui touchent aux livrables ; la direction, de ceux qui touchent aux moyens ou à la date de mise en service. Six changements ont été enregistrés au cours du projet.</w:t>
      </w:r>
    </w:p>
    <w:p>
      <w:pPr>
        <w:spacing w:before="120" w:after="40"/>
      </w:pPr>
      <w:r>
        <w:rPr>
          <w:rFonts w:ascii="Arial" w:hAnsi="Arial"/>
          <w:b/>
          <w:i w:val="0"/>
          <w:color w:val="1F3864"/>
          <w:sz w:val="21"/>
        </w:rPr>
        <w:t>5.6  Réception des livrables</w:t>
      </w:r>
    </w:p>
    <w:p>
      <w:pPr>
        <w:spacing w:before="0" w:after="100"/>
      </w:pPr>
      <w:r>
        <w:rPr>
          <w:rFonts w:ascii="Arial" w:hAnsi="Arial"/>
          <w:b w:val="0"/>
          <w:i w:val="0"/>
          <w:color w:val="212121"/>
          <w:sz w:val="19"/>
        </w:rPr>
        <w:t>Un livrable est reçu lorsqu'il a passé les contrôles automatiques, qu'il a été relu par au moins un formateur lorsqu'il porte un contenu disciplinaire, et qu'il est validé par la responsable pédagogique. Un procès-verbal de réception clôt l'ensemble.</w:t>
      </w:r>
    </w:p>
    <w:p>
      <w:pPr>
        <w:spacing w:before="200" w:after="80"/>
      </w:pPr>
      <w:r>
        <w:rPr>
          <w:rFonts w:ascii="Arial" w:hAnsi="Arial"/>
          <w:b/>
          <w:i w:val="0"/>
          <w:color w:val="1F3864"/>
          <w:sz w:val="26"/>
        </w:rPr>
        <w:t>6.  Management de l'échéancier</w:t>
      </w:r>
    </w:p>
    <w:p>
      <w:pPr>
        <w:spacing w:before="0" w:after="100"/>
      </w:pPr>
      <w:r>
        <w:rPr>
          <w:rFonts w:ascii="Arial" w:hAnsi="Arial"/>
          <w:b w:val="0"/>
          <w:i w:val="0"/>
          <w:color w:val="212121"/>
          <w:sz w:val="19"/>
        </w:rPr>
        <w:t>Les durées sont estimées par analogie avec des travaux comparables, puis ajustées à l'expérience des premiers lots. L'ordonnancement suit les dépendances entre lots, la contrainte de rentrée servant de butoir. Le planning existe à deux niveaux : un macro-planning pour la direction, un diagramme de Gantt détaillé pour la conduite. L'avancement est relevé à chaque point hebdomadaire ; un écart de plus de deux semaines sur un lot est porté au comité de pilotage. La règle de priorisation, arrêtée au cadrage et jamais remise en cause, est la suivante : en cas de conflit, la première année passe avant la deuxième, et la promotion entrante avant les promotions en cours.</w:t>
      </w:r>
    </w:p>
    <w:p>
      <w:pPr>
        <w:spacing w:before="80" w:after="40"/>
        <w:jc w:val="center"/>
      </w:pPr>
      <w:r>
        <w:drawing>
          <wp:inline xmlns:a="http://schemas.openxmlformats.org/drawingml/2006/main" xmlns:pic="http://schemas.openxmlformats.org/drawingml/2006/picture">
            <wp:extent cx="5976000" cy="2709999"/>
            <wp:docPr id="5" name="Picture 5"/>
            <wp:cNvGraphicFramePr>
              <a:graphicFrameLocks noChangeAspect="1"/>
            </wp:cNvGraphicFramePr>
            <a:graphic>
              <a:graphicData uri="http://schemas.openxmlformats.org/drawingml/2006/picture">
                <pic:pic>
                  <pic:nvPicPr>
                    <pic:cNvPr id="0" name="15-Planning_Gantt_B1B2_p1.png"/>
                    <pic:cNvPicPr/>
                  </pic:nvPicPr>
                  <pic:blipFill>
                    <a:blip r:embed="rId15"/>
                    <a:stretch>
                      <a:fillRect/>
                    </a:stretch>
                  </pic:blipFill>
                  <pic:spPr>
                    <a:xfrm>
                      <a:off x="0" y="0"/>
                      <a:ext cx="5976000" cy="2709999"/>
                    </a:xfrm>
                    <a:prstGeom prst="rect"/>
                  </pic:spPr>
                </pic:pic>
              </a:graphicData>
            </a:graphic>
          </wp:inline>
        </w:drawing>
      </w:r>
    </w:p>
    <w:p>
      <w:pPr>
        <w:spacing w:before="0" w:after="20"/>
        <w:jc w:val="center"/>
      </w:pPr>
      <w:r>
        <w:rPr>
          <w:rFonts w:ascii="Arial" w:hAnsi="Arial"/>
          <w:b w:val="0"/>
          <w:i/>
          <w:color w:val="606060"/>
          <w:sz w:val="16"/>
        </w:rPr>
        <w:t>Figure 5  ·  Le planning détaillé : statut, prédécesseur, affectation et avancement de chaque tâche</w:t>
      </w:r>
    </w:p>
    <w:p>
      <w:pPr>
        <w:spacing w:before="0" w:after="160"/>
        <w:jc w:val="center"/>
      </w:pPr>
      <w:r>
        <w:rPr>
          <w:rFonts w:ascii="Arial" w:hAnsi="Arial"/>
          <w:b w:val="0"/>
          <w:i/>
          <w:color w:val="606060"/>
          <w:sz w:val="15"/>
        </w:rPr>
        <w:t>Extrait de : diagramme de Gantt, version V3.0 du 14 août 2026. Le document complet figure en annexe.</w:t>
      </w:r>
    </w:p>
    <w:p>
      <w:pPr>
        <w:spacing w:before="200" w:after="80"/>
      </w:pPr>
      <w:r>
        <w:rPr>
          <w:rFonts w:ascii="Arial" w:hAnsi="Arial"/>
          <w:b/>
          <w:i w:val="0"/>
          <w:color w:val="1F3864"/>
          <w:sz w:val="26"/>
        </w:rPr>
        <w:t>7.  Management des coûts</w:t>
      </w:r>
    </w:p>
    <w:p>
      <w:pPr>
        <w:spacing w:before="0" w:after="100"/>
      </w:pPr>
      <w:r>
        <w:rPr>
          <w:rFonts w:ascii="Arial" w:hAnsi="Arial"/>
          <w:b w:val="0"/>
          <w:i w:val="0"/>
          <w:color w:val="212121"/>
          <w:sz w:val="19"/>
        </w:rPr>
        <w:t>Le projet ne comporte ni achat ni prestation externe : sa ressource principale est du temps interne, valorisé selon une convention de marché et non selon des données salariales. L'estimation est ascendante, lot par lot. Une réserve pour aléas de dix pour cent est prévue, mobilisable par le chef de projet jusqu'à la moitié, au-delà par la direction. Le suivi compare budgété et consommé par poste. Les charges récurrentes qui commencent après la clôture, hébergement, maintenance et mise à jour annuelle des fiches, sont signalées à la direction mais n'entrent pas dans le budget de projet.</w:t>
      </w:r>
    </w:p>
    <w:p>
      <w:pPr>
        <w:spacing w:before="80" w:after="40"/>
        <w:jc w:val="center"/>
      </w:pPr>
      <w:r>
        <w:drawing>
          <wp:inline xmlns:a="http://schemas.openxmlformats.org/drawingml/2006/main" xmlns:pic="http://schemas.openxmlformats.org/drawingml/2006/picture">
            <wp:extent cx="5256000" cy="2176602"/>
            <wp:docPr id="6" name="Picture 6"/>
            <wp:cNvGraphicFramePr>
              <a:graphicFrameLocks noChangeAspect="1"/>
            </wp:cNvGraphicFramePr>
            <a:graphic>
              <a:graphicData uri="http://schemas.openxmlformats.org/drawingml/2006/picture">
                <pic:pic>
                  <pic:nvPicPr>
                    <pic:cNvPr id="0" name="ecart_budgetaire.png"/>
                    <pic:cNvPicPr/>
                  </pic:nvPicPr>
                  <pic:blipFill>
                    <a:blip r:embed="rId16"/>
                    <a:stretch>
                      <a:fillRect/>
                    </a:stretch>
                  </pic:blipFill>
                  <pic:spPr>
                    <a:xfrm>
                      <a:off x="0" y="0"/>
                      <a:ext cx="5256000" cy="2176602"/>
                    </a:xfrm>
                    <a:prstGeom prst="rect"/>
                  </pic:spPr>
                </pic:pic>
              </a:graphicData>
            </a:graphic>
          </wp:inline>
        </w:drawing>
      </w:r>
    </w:p>
    <w:p>
      <w:pPr>
        <w:spacing w:before="0" w:after="20"/>
        <w:jc w:val="center"/>
      </w:pPr>
      <w:r>
        <w:rPr>
          <w:rFonts w:ascii="Arial" w:hAnsi="Arial"/>
          <w:b w:val="0"/>
          <w:i/>
          <w:color w:val="606060"/>
          <w:sz w:val="16"/>
        </w:rPr>
        <w:t>Figure 6  ·  Budgété et consommé : l'enveloppe décaissée est tenue, la charge réelle vaut le double</w:t>
      </w:r>
    </w:p>
    <w:p>
      <w:pPr>
        <w:spacing w:before="0" w:after="160"/>
        <w:jc w:val="center"/>
      </w:pPr>
      <w:r>
        <w:rPr>
          <w:rFonts w:ascii="Arial" w:hAnsi="Arial"/>
          <w:b w:val="0"/>
          <w:i/>
          <w:color w:val="606060"/>
          <w:sz w:val="15"/>
        </w:rPr>
        <w:t>Source : budget prévisionnel et suivi des coûts, version V3.0 du 21 août 2026.</w:t>
      </w:r>
    </w:p>
    <w:p>
      <w:pPr>
        <w:spacing w:before="200" w:after="80"/>
      </w:pPr>
      <w:r>
        <w:rPr>
          <w:rFonts w:ascii="Arial" w:hAnsi="Arial"/>
          <w:b/>
          <w:i w:val="0"/>
          <w:color w:val="1F3864"/>
          <w:sz w:val="26"/>
        </w:rPr>
        <w:t>8.  Management de la qualité</w:t>
      </w:r>
    </w:p>
    <w:p>
      <w:pPr>
        <w:spacing w:before="120" w:after="40"/>
      </w:pPr>
      <w:r>
        <w:rPr>
          <w:rFonts w:ascii="Arial" w:hAnsi="Arial"/>
          <w:b/>
          <w:i w:val="0"/>
          <w:color w:val="1F3864"/>
          <w:sz w:val="21"/>
        </w:rPr>
        <w:t>8.1  Référentiels applicables</w:t>
      </w:r>
    </w:p>
    <w:p>
      <w:pPr>
        <w:spacing w:before="0" w:after="100"/>
      </w:pPr>
      <w:r>
        <w:rPr>
          <w:rFonts w:ascii="Arial" w:hAnsi="Arial"/>
          <w:b w:val="0"/>
          <w:i w:val="0"/>
          <w:color w:val="212121"/>
          <w:sz w:val="19"/>
        </w:rPr>
        <w:t>Les référentiels des titres visés en fin de cycle, qui fixent les compétences à préparer, et le référentiel national qualité, qui impose la traçabilité des parcours et la cohérence entre objectifs et évaluations.</w:t>
      </w:r>
    </w:p>
    <w:p>
      <w:pPr>
        <w:spacing w:before="120" w:after="40"/>
      </w:pPr>
      <w:r>
        <w:rPr>
          <w:rFonts w:ascii="Arial" w:hAnsi="Arial"/>
          <w:b/>
          <w:i w:val="0"/>
          <w:color w:val="1F3864"/>
          <w:sz w:val="21"/>
        </w:rPr>
        <w:t>8.2  Contrôles</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438"/>
        <w:gridCol w:w="2438"/>
        <w:gridCol w:w="2438"/>
        <w:gridCol w:w="2438"/>
      </w:tblGrid>
      <w:tr>
        <w:trPr>
          <w:tblHeader w:val="true"/>
        </w:trPr>
        <w:tc>
          <w:tcPr>
            <w:tcW w:type="dxa" w:w="1701"/>
            <w:shd w:val="clear" w:fill="1F3864"/>
          </w:tcPr>
          <w:p>
            <w:pPr>
              <w:spacing w:after="20" w:before="20"/>
            </w:pPr>
            <w:r/>
            <w:r>
              <w:rPr>
                <w:rFonts w:ascii="Arial" w:hAnsi="Arial"/>
                <w:b/>
                <w:color w:val="FFFFFF"/>
                <w:sz w:val="16"/>
              </w:rPr>
              <w:t>Contrôle</w:t>
            </w:r>
          </w:p>
        </w:tc>
        <w:tc>
          <w:tcPr>
            <w:tcW w:type="dxa" w:w="4195"/>
            <w:shd w:val="clear" w:fill="1F3864"/>
          </w:tcPr>
          <w:p>
            <w:pPr>
              <w:spacing w:after="20" w:before="20"/>
            </w:pPr>
            <w:r/>
            <w:r>
              <w:rPr>
                <w:rFonts w:ascii="Arial" w:hAnsi="Arial"/>
                <w:b/>
                <w:color w:val="FFFFFF"/>
                <w:sz w:val="16"/>
              </w:rPr>
              <w:t>Ce qu'il vérifie</w:t>
            </w:r>
          </w:p>
        </w:tc>
        <w:tc>
          <w:tcPr>
            <w:tcW w:type="dxa" w:w="2381"/>
            <w:shd w:val="clear" w:fill="1F3864"/>
          </w:tcPr>
          <w:p>
            <w:pPr>
              <w:spacing w:after="20" w:before="20"/>
            </w:pPr>
            <w:r/>
            <w:r>
              <w:rPr>
                <w:rFonts w:ascii="Arial" w:hAnsi="Arial"/>
                <w:b/>
                <w:color w:val="FFFFFF"/>
                <w:sz w:val="16"/>
              </w:rPr>
              <w:t>Quand</w:t>
            </w:r>
          </w:p>
        </w:tc>
        <w:tc>
          <w:tcPr>
            <w:tcW w:type="dxa" w:w="1474"/>
            <w:shd w:val="clear" w:fill="1F3864"/>
          </w:tcPr>
          <w:p>
            <w:pPr>
              <w:spacing w:after="20" w:before="20"/>
            </w:pPr>
            <w:r/>
            <w:r>
              <w:rPr>
                <w:rFonts w:ascii="Arial" w:hAnsi="Arial"/>
                <w:b/>
                <w:color w:val="FFFFFF"/>
                <w:sz w:val="16"/>
              </w:rPr>
              <w:t>Qui</w:t>
            </w:r>
          </w:p>
        </w:tc>
      </w:tr>
      <w:tr>
        <w:tc>
          <w:tcPr>
            <w:tcW w:type="dxa" w:w="1701"/>
          </w:tcPr>
          <w:p>
            <w:pPr>
              <w:spacing w:after="20" w:before="20"/>
            </w:pPr>
            <w:r/>
            <w:r>
              <w:rPr>
                <w:rFonts w:ascii="Arial" w:hAnsi="Arial"/>
                <w:b w:val="0"/>
                <w:sz w:val="16"/>
              </w:rPr>
              <w:t>Vocabulaire</w:t>
            </w:r>
          </w:p>
        </w:tc>
        <w:tc>
          <w:tcPr>
            <w:tcW w:type="dxa" w:w="4195"/>
          </w:tcPr>
          <w:p>
            <w:pPr>
              <w:spacing w:after="20" w:before="20"/>
            </w:pPr>
            <w:r/>
            <w:r>
              <w:rPr>
                <w:rFonts w:ascii="Arial" w:hAnsi="Arial"/>
                <w:b w:val="0"/>
                <w:sz w:val="16"/>
              </w:rPr>
              <w:t>Aucun terme réservé à la certification dans les documents des deux premières années</w:t>
            </w:r>
          </w:p>
        </w:tc>
        <w:tc>
          <w:tcPr>
            <w:tcW w:type="dxa" w:w="2381"/>
          </w:tcPr>
          <w:p>
            <w:pPr>
              <w:spacing w:after="20" w:before="20"/>
            </w:pPr>
            <w:r/>
            <w:r>
              <w:rPr>
                <w:rFonts w:ascii="Arial" w:hAnsi="Arial"/>
                <w:b w:val="0"/>
                <w:sz w:val="16"/>
              </w:rPr>
              <w:t>À chaque génération</w:t>
            </w:r>
          </w:p>
        </w:tc>
        <w:tc>
          <w:tcPr>
            <w:tcW w:type="dxa" w:w="1474"/>
          </w:tcPr>
          <w:p>
            <w:pPr>
              <w:spacing w:after="20" w:before="20"/>
            </w:pPr>
            <w:r/>
            <w:r>
              <w:rPr>
                <w:rFonts w:ascii="Arial" w:hAnsi="Arial"/>
                <w:b w:val="0"/>
                <w:sz w:val="16"/>
              </w:rPr>
              <w:t>Automatique</w:t>
            </w:r>
          </w:p>
        </w:tc>
      </w:tr>
      <w:tr>
        <w:tc>
          <w:tcPr>
            <w:tcW w:type="dxa" w:w="1701"/>
          </w:tcPr>
          <w:p>
            <w:pPr>
              <w:spacing w:after="20" w:before="20"/>
            </w:pPr>
            <w:r/>
            <w:r>
              <w:rPr>
                <w:rFonts w:ascii="Arial" w:hAnsi="Arial"/>
                <w:b w:val="0"/>
                <w:sz w:val="16"/>
              </w:rPr>
              <w:t>Couverture</w:t>
            </w:r>
          </w:p>
        </w:tc>
        <w:tc>
          <w:tcPr>
            <w:tcW w:type="dxa" w:w="4195"/>
          </w:tcPr>
          <w:p>
            <w:pPr>
              <w:spacing w:after="20" w:before="20"/>
            </w:pPr>
            <w:r/>
            <w:r>
              <w:rPr>
                <w:rFonts w:ascii="Arial" w:hAnsi="Arial"/>
                <w:b w:val="0"/>
                <w:sz w:val="16"/>
              </w:rPr>
              <w:t>Chaque compétence de fin de cycle préparée par au moins un module</w:t>
            </w:r>
          </w:p>
        </w:tc>
        <w:tc>
          <w:tcPr>
            <w:tcW w:type="dxa" w:w="2381"/>
          </w:tcPr>
          <w:p>
            <w:pPr>
              <w:spacing w:after="20" w:before="20"/>
            </w:pPr>
            <w:r/>
            <w:r>
              <w:rPr>
                <w:rFonts w:ascii="Arial" w:hAnsi="Arial"/>
                <w:b w:val="0"/>
                <w:sz w:val="16"/>
              </w:rPr>
              <w:t>À chaque version du référentiel</w:t>
            </w:r>
          </w:p>
        </w:tc>
        <w:tc>
          <w:tcPr>
            <w:tcW w:type="dxa" w:w="1474"/>
          </w:tcPr>
          <w:p>
            <w:pPr>
              <w:spacing w:after="20" w:before="20"/>
            </w:pPr>
            <w:r/>
            <w:r>
              <w:rPr>
                <w:rFonts w:ascii="Arial" w:hAnsi="Arial"/>
                <w:b w:val="0"/>
                <w:sz w:val="16"/>
              </w:rPr>
              <w:t>Automatique</w:t>
            </w:r>
          </w:p>
        </w:tc>
      </w:tr>
      <w:tr>
        <w:tc>
          <w:tcPr>
            <w:tcW w:type="dxa" w:w="1701"/>
          </w:tcPr>
          <w:p>
            <w:pPr>
              <w:spacing w:after="20" w:before="20"/>
            </w:pPr>
            <w:r/>
            <w:r>
              <w:rPr>
                <w:rFonts w:ascii="Arial" w:hAnsi="Arial"/>
                <w:b w:val="0"/>
                <w:sz w:val="16"/>
              </w:rPr>
              <w:t>Prérequis</w:t>
            </w:r>
          </w:p>
        </w:tc>
        <w:tc>
          <w:tcPr>
            <w:tcW w:type="dxa" w:w="4195"/>
          </w:tcPr>
          <w:p>
            <w:pPr>
              <w:spacing w:after="20" w:before="20"/>
            </w:pPr>
            <w:r/>
            <w:r>
              <w:rPr>
                <w:rFonts w:ascii="Arial" w:hAnsi="Arial"/>
                <w:b w:val="0"/>
                <w:sz w:val="16"/>
              </w:rPr>
              <w:t>Aucun module n'exige un acquis non traité auparavant</w:t>
            </w:r>
          </w:p>
        </w:tc>
        <w:tc>
          <w:tcPr>
            <w:tcW w:type="dxa" w:w="2381"/>
          </w:tcPr>
          <w:p>
            <w:pPr>
              <w:spacing w:after="20" w:before="20"/>
            </w:pPr>
            <w:r/>
            <w:r>
              <w:rPr>
                <w:rFonts w:ascii="Arial" w:hAnsi="Arial"/>
                <w:b w:val="0"/>
                <w:sz w:val="16"/>
              </w:rPr>
              <w:t>À chaque version de l'ordonnancement</w:t>
            </w:r>
          </w:p>
        </w:tc>
        <w:tc>
          <w:tcPr>
            <w:tcW w:type="dxa" w:w="1474"/>
          </w:tcPr>
          <w:p>
            <w:pPr>
              <w:spacing w:after="20" w:before="20"/>
            </w:pPr>
            <w:r/>
            <w:r>
              <w:rPr>
                <w:rFonts w:ascii="Arial" w:hAnsi="Arial"/>
                <w:b w:val="0"/>
                <w:sz w:val="16"/>
              </w:rPr>
              <w:t>Automatique</w:t>
            </w:r>
          </w:p>
        </w:tc>
      </w:tr>
      <w:tr>
        <w:tc>
          <w:tcPr>
            <w:tcW w:type="dxa" w:w="1701"/>
          </w:tcPr>
          <w:p>
            <w:pPr>
              <w:spacing w:after="20" w:before="20"/>
            </w:pPr>
            <w:r/>
            <w:r>
              <w:rPr>
                <w:rFonts w:ascii="Arial" w:hAnsi="Arial"/>
                <w:b w:val="0"/>
                <w:sz w:val="16"/>
              </w:rPr>
              <w:t>Appariement</w:t>
            </w:r>
          </w:p>
        </w:tc>
        <w:tc>
          <w:tcPr>
            <w:tcW w:type="dxa" w:w="4195"/>
          </w:tcPr>
          <w:p>
            <w:pPr>
              <w:spacing w:after="20" w:before="20"/>
            </w:pPr>
            <w:r/>
            <w:r>
              <w:rPr>
                <w:rFonts w:ascii="Arial" w:hAnsi="Arial"/>
                <w:b w:val="0"/>
                <w:sz w:val="16"/>
              </w:rPr>
              <w:t>Chaque fiche se rattache sans ambiguïté à son module</w:t>
            </w:r>
          </w:p>
        </w:tc>
        <w:tc>
          <w:tcPr>
            <w:tcW w:type="dxa" w:w="2381"/>
          </w:tcPr>
          <w:p>
            <w:pPr>
              <w:spacing w:after="20" w:before="20"/>
            </w:pPr>
            <w:r/>
            <w:r>
              <w:rPr>
                <w:rFonts w:ascii="Arial" w:hAnsi="Arial"/>
                <w:b w:val="0"/>
                <w:sz w:val="16"/>
              </w:rPr>
              <w:t>Avant toute livraison</w:t>
            </w:r>
          </w:p>
        </w:tc>
        <w:tc>
          <w:tcPr>
            <w:tcW w:type="dxa" w:w="1474"/>
          </w:tcPr>
          <w:p>
            <w:pPr>
              <w:spacing w:after="20" w:before="20"/>
            </w:pPr>
            <w:r/>
            <w:r>
              <w:rPr>
                <w:rFonts w:ascii="Arial" w:hAnsi="Arial"/>
                <w:b w:val="0"/>
                <w:sz w:val="16"/>
              </w:rPr>
              <w:t>Automatique</w:t>
            </w:r>
          </w:p>
        </w:tc>
      </w:tr>
      <w:tr>
        <w:tc>
          <w:tcPr>
            <w:tcW w:type="dxa" w:w="1701"/>
          </w:tcPr>
          <w:p>
            <w:pPr>
              <w:spacing w:after="20" w:before="20"/>
            </w:pPr>
            <w:r/>
            <w:r>
              <w:rPr>
                <w:rFonts w:ascii="Arial" w:hAnsi="Arial"/>
                <w:b w:val="0"/>
                <w:sz w:val="16"/>
              </w:rPr>
              <w:t>Références</w:t>
            </w:r>
          </w:p>
        </w:tc>
        <w:tc>
          <w:tcPr>
            <w:tcW w:type="dxa" w:w="4195"/>
          </w:tcPr>
          <w:p>
            <w:pPr>
              <w:spacing w:after="20" w:before="20"/>
            </w:pPr>
            <w:r/>
            <w:r>
              <w:rPr>
                <w:rFonts w:ascii="Arial" w:hAnsi="Arial"/>
                <w:b w:val="0"/>
                <w:sz w:val="16"/>
              </w:rPr>
              <w:t>Chaque référence bibliographique existe et se résout</w:t>
            </w:r>
          </w:p>
        </w:tc>
        <w:tc>
          <w:tcPr>
            <w:tcW w:type="dxa" w:w="2381"/>
          </w:tcPr>
          <w:p>
            <w:pPr>
              <w:spacing w:after="20" w:before="20"/>
            </w:pPr>
            <w:r/>
            <w:r>
              <w:rPr>
                <w:rFonts w:ascii="Arial" w:hAnsi="Arial"/>
                <w:b w:val="0"/>
                <w:sz w:val="16"/>
              </w:rPr>
              <w:t>À la rédaction</w:t>
            </w:r>
          </w:p>
        </w:tc>
        <w:tc>
          <w:tcPr>
            <w:tcW w:type="dxa" w:w="1474"/>
          </w:tcPr>
          <w:p>
            <w:pPr>
              <w:spacing w:after="20" w:before="20"/>
            </w:pPr>
            <w:r/>
            <w:r>
              <w:rPr>
                <w:rFonts w:ascii="Arial" w:hAnsi="Arial"/>
                <w:b w:val="0"/>
                <w:sz w:val="16"/>
              </w:rPr>
              <w:t>Chef de projet</w:t>
            </w:r>
          </w:p>
        </w:tc>
      </w:tr>
      <w:tr>
        <w:tc>
          <w:tcPr>
            <w:tcW w:type="dxa" w:w="1701"/>
          </w:tcPr>
          <w:p>
            <w:pPr>
              <w:spacing w:after="20" w:before="20"/>
            </w:pPr>
            <w:r/>
            <w:r>
              <w:rPr>
                <w:rFonts w:ascii="Arial" w:hAnsi="Arial"/>
                <w:b w:val="0"/>
                <w:sz w:val="16"/>
              </w:rPr>
              <w:t>Contenu disciplinaire</w:t>
            </w:r>
          </w:p>
        </w:tc>
        <w:tc>
          <w:tcPr>
            <w:tcW w:type="dxa" w:w="4195"/>
          </w:tcPr>
          <w:p>
            <w:pPr>
              <w:spacing w:after="20" w:before="20"/>
            </w:pPr>
            <w:r/>
            <w:r>
              <w:rPr>
                <w:rFonts w:ascii="Arial" w:hAnsi="Arial"/>
                <w:b w:val="0"/>
                <w:sz w:val="16"/>
              </w:rPr>
              <w:t>Justesse et actualité des contenus</w:t>
            </w:r>
          </w:p>
        </w:tc>
        <w:tc>
          <w:tcPr>
            <w:tcW w:type="dxa" w:w="2381"/>
          </w:tcPr>
          <w:p>
            <w:pPr>
              <w:spacing w:after="20" w:before="20"/>
            </w:pPr>
            <w:r/>
            <w:r>
              <w:rPr>
                <w:rFonts w:ascii="Arial" w:hAnsi="Arial"/>
                <w:b w:val="0"/>
                <w:sz w:val="16"/>
              </w:rPr>
              <w:t>Relecture croisée</w:t>
            </w:r>
          </w:p>
        </w:tc>
        <w:tc>
          <w:tcPr>
            <w:tcW w:type="dxa" w:w="1474"/>
          </w:tcPr>
          <w:p>
            <w:pPr>
              <w:spacing w:after="20" w:before="20"/>
            </w:pPr>
            <w:r/>
            <w:r>
              <w:rPr>
                <w:rFonts w:ascii="Arial" w:hAnsi="Arial"/>
                <w:b w:val="0"/>
                <w:sz w:val="16"/>
              </w:rPr>
              <w:t>Formateurs</w:t>
            </w:r>
          </w:p>
        </w:tc>
      </w:tr>
      <w:tr>
        <w:tc>
          <w:tcPr>
            <w:tcW w:type="dxa" w:w="1701"/>
          </w:tcPr>
          <w:p>
            <w:pPr>
              <w:spacing w:after="20" w:before="20"/>
            </w:pPr>
            <w:r/>
            <w:r>
              <w:rPr>
                <w:rFonts w:ascii="Arial" w:hAnsi="Arial"/>
                <w:b w:val="0"/>
                <w:sz w:val="16"/>
              </w:rPr>
              <w:t>Cohérence avec la cible</w:t>
            </w:r>
          </w:p>
        </w:tc>
        <w:tc>
          <w:tcPr>
            <w:tcW w:type="dxa" w:w="4195"/>
          </w:tcPr>
          <w:p>
            <w:pPr>
              <w:spacing w:after="20" w:before="20"/>
            </w:pPr>
            <w:r/>
            <w:r>
              <w:rPr>
                <w:rFonts w:ascii="Arial" w:hAnsi="Arial"/>
                <w:b w:val="0"/>
                <w:sz w:val="16"/>
              </w:rPr>
              <w:t>Adéquation du programme aux titres visés</w:t>
            </w:r>
          </w:p>
        </w:tc>
        <w:tc>
          <w:tcPr>
            <w:tcW w:type="dxa" w:w="2381"/>
          </w:tcPr>
          <w:p>
            <w:pPr>
              <w:spacing w:after="20" w:before="20"/>
            </w:pPr>
            <w:r/>
            <w:r>
              <w:rPr>
                <w:rFonts w:ascii="Arial" w:hAnsi="Arial"/>
                <w:b w:val="0"/>
                <w:sz w:val="16"/>
              </w:rPr>
              <w:t>Revue d'expert</w:t>
            </w:r>
          </w:p>
        </w:tc>
        <w:tc>
          <w:tcPr>
            <w:tcW w:type="dxa" w:w="1474"/>
          </w:tcPr>
          <w:p>
            <w:pPr>
              <w:spacing w:after="20" w:before="20"/>
            </w:pPr>
            <w:r/>
            <w:r>
              <w:rPr>
                <w:rFonts w:ascii="Arial" w:hAnsi="Arial"/>
                <w:b w:val="0"/>
                <w:sz w:val="16"/>
              </w:rPr>
              <w:t>Certificateur</w:t>
            </w:r>
          </w:p>
        </w:tc>
      </w:tr>
    </w:tbl>
    <w:p>
      <w:pPr>
        <w:spacing w:before="0" w:after="120"/>
      </w:pPr>
    </w:p>
    <w:p>
      <w:pPr>
        <w:spacing w:before="120" w:after="40"/>
      </w:pPr>
      <w:r>
        <w:rPr>
          <w:rFonts w:ascii="Arial" w:hAnsi="Arial"/>
          <w:b/>
          <w:i w:val="0"/>
          <w:color w:val="1F3864"/>
          <w:sz w:val="21"/>
        </w:rPr>
        <w:t>8.3  Indicateurs</w:t>
      </w:r>
    </w:p>
    <w:p>
      <w:pPr>
        <w:spacing w:before="0" w:after="100"/>
      </w:pPr>
      <w:r>
        <w:rPr>
          <w:rFonts w:ascii="Arial" w:hAnsi="Arial"/>
          <w:b w:val="0"/>
          <w:i w:val="0"/>
          <w:color w:val="212121"/>
          <w:sz w:val="19"/>
        </w:rPr>
        <w:t>Taux de couverture des compétences de fin de cycle, nombre de ruptures de prérequis, taux d'appariement des fiches, taux de réponse des formateurs à la collecte, respect des jalons. Les indicateurs de résultat sur les étudiants, taux de passage et réussite en fin de cycle, ne seront disponibles qu'après la première promotion : ils sont définis mais pas encore mesurables.</w:t>
      </w:r>
    </w:p>
    <w:p>
      <w:pPr>
        <w:spacing w:before="200" w:after="80"/>
      </w:pPr>
      <w:r>
        <w:rPr>
          <w:rFonts w:ascii="Arial" w:hAnsi="Arial"/>
          <w:b/>
          <w:i w:val="0"/>
          <w:color w:val="1F3864"/>
          <w:sz w:val="26"/>
        </w:rPr>
        <w:t>9.  Management des ressources</w:t>
      </w:r>
    </w:p>
    <w:p>
      <w:pPr>
        <w:spacing w:before="0" w:after="100"/>
      </w:pPr>
      <w:r>
        <w:rPr>
          <w:rFonts w:ascii="Arial" w:hAnsi="Arial"/>
          <w:b w:val="0"/>
          <w:i w:val="0"/>
          <w:color w:val="212121"/>
          <w:sz w:val="19"/>
        </w:rPr>
        <w:t>Le projet mobilise un chef de projet à un jour par semaine, la responsable pédagogique, vingt-cinq formateurs sollicités ponctuellement, et quatre fonctions d'appui. Aucun recrutement n'a lieu pendant le projet. Les compétences requises par lot et celles disponibles par fonction sont croisées dans la matrice des compétences ; les responsabilités sont réparties dans la matrice RACI, où chaque tâche porte un approbateur unique. La difficulté structurante est connue depuis le cadrage : le chef de projet n'a aucune autorité hiérarchique sur les acteurs dont il dépend. La réponse retenue ne relève pas du management mais de la contribution : intégrer les contenus existants plutôt que les remplacer, consulter individuellement, et faire en sorte que déclarer serve à celui qui déclare.</w:t>
      </w:r>
    </w:p>
    <w:p>
      <w:pPr>
        <w:spacing w:before="80" w:after="40"/>
        <w:jc w:val="center"/>
      </w:pPr>
      <w:r>
        <w:drawing>
          <wp:inline xmlns:a="http://schemas.openxmlformats.org/drawingml/2006/main" xmlns:pic="http://schemas.openxmlformats.org/drawingml/2006/picture">
            <wp:extent cx="5256000" cy="5851019"/>
            <wp:docPr id="7" name="Picture 7"/>
            <wp:cNvGraphicFramePr>
              <a:graphicFrameLocks noChangeAspect="1"/>
            </wp:cNvGraphicFramePr>
            <a:graphic>
              <a:graphicData uri="http://schemas.openxmlformats.org/drawingml/2006/picture">
                <pic:pic>
                  <pic:nvPicPr>
                    <pic:cNvPr id="0" name="19-Organigramme_du_projet_B1B2_p1.png"/>
                    <pic:cNvPicPr/>
                  </pic:nvPicPr>
                  <pic:blipFill>
                    <a:blip r:embed="rId17"/>
                    <a:stretch>
                      <a:fillRect/>
                    </a:stretch>
                  </pic:blipFill>
                  <pic:spPr>
                    <a:xfrm>
                      <a:off x="0" y="0"/>
                      <a:ext cx="5256000" cy="5851019"/>
                    </a:xfrm>
                    <a:prstGeom prst="rect"/>
                  </pic:spPr>
                </pic:pic>
              </a:graphicData>
            </a:graphic>
          </wp:inline>
        </w:drawing>
      </w:r>
    </w:p>
    <w:p>
      <w:pPr>
        <w:spacing w:before="0" w:after="20"/>
        <w:jc w:val="center"/>
      </w:pPr>
      <w:r>
        <w:rPr>
          <w:rFonts w:ascii="Arial" w:hAnsi="Arial"/>
          <w:b w:val="0"/>
          <w:i/>
          <w:color w:val="606060"/>
          <w:sz w:val="16"/>
        </w:rPr>
        <w:t>Figure 7  ·  Une seule ligne hiérarchique, et des liens fonctionnels pour tout le reste</w:t>
      </w:r>
    </w:p>
    <w:p>
      <w:pPr>
        <w:spacing w:before="0" w:after="160"/>
        <w:jc w:val="center"/>
      </w:pPr>
      <w:r>
        <w:rPr>
          <w:rFonts w:ascii="Arial" w:hAnsi="Arial"/>
          <w:b w:val="0"/>
          <w:i/>
          <w:color w:val="606060"/>
          <w:sz w:val="15"/>
        </w:rPr>
        <w:t>Extrait de : organigramme du projet, version V2.0 du 30 juin 2026. Le document complet figure en annexe.</w:t>
      </w:r>
    </w:p>
    <w:p>
      <w:pPr>
        <w:spacing w:before="80" w:after="40"/>
        <w:jc w:val="center"/>
      </w:pPr>
      <w:r>
        <w:drawing>
          <wp:inline xmlns:a="http://schemas.openxmlformats.org/drawingml/2006/main" xmlns:pic="http://schemas.openxmlformats.org/drawingml/2006/picture">
            <wp:extent cx="5976000" cy="4534482"/>
            <wp:docPr id="8" name="Picture 8"/>
            <wp:cNvGraphicFramePr>
              <a:graphicFrameLocks noChangeAspect="1"/>
            </wp:cNvGraphicFramePr>
            <a:graphic>
              <a:graphicData uri="http://schemas.openxmlformats.org/drawingml/2006/picture">
                <pic:pic>
                  <pic:nvPicPr>
                    <pic:cNvPr id="0" name="17-Matrice_RACI_B1B2_p1.png"/>
                    <pic:cNvPicPr/>
                  </pic:nvPicPr>
                  <pic:blipFill>
                    <a:blip r:embed="rId18"/>
                    <a:stretch>
                      <a:fillRect/>
                    </a:stretch>
                  </pic:blipFill>
                  <pic:spPr>
                    <a:xfrm>
                      <a:off x="0" y="0"/>
                      <a:ext cx="5976000" cy="4534482"/>
                    </a:xfrm>
                    <a:prstGeom prst="rect"/>
                  </pic:spPr>
                </pic:pic>
              </a:graphicData>
            </a:graphic>
          </wp:inline>
        </w:drawing>
      </w:r>
    </w:p>
    <w:p>
      <w:pPr>
        <w:spacing w:before="0" w:after="20"/>
        <w:jc w:val="center"/>
      </w:pPr>
      <w:r>
        <w:rPr>
          <w:rFonts w:ascii="Arial" w:hAnsi="Arial"/>
          <w:b w:val="0"/>
          <w:i/>
          <w:color w:val="606060"/>
          <w:sz w:val="16"/>
        </w:rPr>
        <w:t>Figure 8  ·  Vingt-neuf tâches et dix rôles : la réalisation se répartit sur cinq acteurs</w:t>
      </w:r>
    </w:p>
    <w:p>
      <w:pPr>
        <w:spacing w:before="0" w:after="160"/>
        <w:jc w:val="center"/>
      </w:pPr>
      <w:r>
        <w:rPr>
          <w:rFonts w:ascii="Arial" w:hAnsi="Arial"/>
          <w:b w:val="0"/>
          <w:i/>
          <w:color w:val="606060"/>
          <w:sz w:val="15"/>
        </w:rPr>
        <w:t>Extrait de : matrice RACI, version V2.2 du 14 août 2026. Le document complet figure en annexe.</w:t>
      </w:r>
    </w:p>
    <w:p>
      <w:pPr>
        <w:spacing w:before="80" w:after="40"/>
        <w:jc w:val="center"/>
      </w:pPr>
      <w:r>
        <w:drawing>
          <wp:inline xmlns:a="http://schemas.openxmlformats.org/drawingml/2006/main" xmlns:pic="http://schemas.openxmlformats.org/drawingml/2006/picture">
            <wp:extent cx="5976000" cy="2564665"/>
            <wp:docPr id="9" name="Picture 9"/>
            <wp:cNvGraphicFramePr>
              <a:graphicFrameLocks noChangeAspect="1"/>
            </wp:cNvGraphicFramePr>
            <a:graphic>
              <a:graphicData uri="http://schemas.openxmlformats.org/drawingml/2006/picture">
                <pic:pic>
                  <pic:nvPicPr>
                    <pic:cNvPr id="0" name="16-Matrice_competences_ressources_p1.png"/>
                    <pic:cNvPicPr/>
                  </pic:nvPicPr>
                  <pic:blipFill>
                    <a:blip r:embed="rId19"/>
                    <a:stretch>
                      <a:fillRect/>
                    </a:stretch>
                  </pic:blipFill>
                  <pic:spPr>
                    <a:xfrm>
                      <a:off x="0" y="0"/>
                      <a:ext cx="5976000" cy="2564665"/>
                    </a:xfrm>
                    <a:prstGeom prst="rect"/>
                  </pic:spPr>
                </pic:pic>
              </a:graphicData>
            </a:graphic>
          </wp:inline>
        </w:drawing>
      </w:r>
    </w:p>
    <w:p>
      <w:pPr>
        <w:spacing w:before="0" w:after="20"/>
        <w:jc w:val="center"/>
      </w:pPr>
      <w:r>
        <w:rPr>
          <w:rFonts w:ascii="Arial" w:hAnsi="Arial"/>
          <w:b w:val="0"/>
          <w:i/>
          <w:color w:val="606060"/>
          <w:sz w:val="16"/>
        </w:rPr>
        <w:t>Figure 9  ·  Maîtrise et intérêt déclarés par fonction, sur la même échelle que celle de l'application</w:t>
      </w:r>
    </w:p>
    <w:p>
      <w:pPr>
        <w:spacing w:before="0" w:after="160"/>
        <w:jc w:val="center"/>
      </w:pPr>
      <w:r>
        <w:rPr>
          <w:rFonts w:ascii="Arial" w:hAnsi="Arial"/>
          <w:b w:val="0"/>
          <w:i/>
          <w:color w:val="606060"/>
          <w:sz w:val="15"/>
        </w:rPr>
        <w:t>Extrait de : matrice des compétences, version V2.1 du 14 août 2026. Le document complet figure en annexe.</w:t>
      </w:r>
    </w:p>
    <w:p>
      <w:pPr>
        <w:spacing w:before="200" w:after="80"/>
      </w:pPr>
      <w:r>
        <w:rPr>
          <w:rFonts w:ascii="Arial" w:hAnsi="Arial"/>
          <w:b/>
          <w:i w:val="0"/>
          <w:color w:val="1F3864"/>
          <w:sz w:val="26"/>
        </w:rPr>
        <w:t>10.  Management des communications</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1950"/>
        <w:gridCol w:w="1950"/>
        <w:gridCol w:w="1950"/>
        <w:gridCol w:w="1950"/>
        <w:gridCol w:w="1950"/>
      </w:tblGrid>
      <w:tr>
        <w:trPr>
          <w:tblHeader w:val="true"/>
        </w:trPr>
        <w:tc>
          <w:tcPr>
            <w:tcW w:type="dxa" w:w="1928"/>
            <w:shd w:val="clear" w:fill="1F3864"/>
          </w:tcPr>
          <w:p>
            <w:pPr>
              <w:spacing w:after="20" w:before="20"/>
            </w:pPr>
            <w:r/>
            <w:r>
              <w:rPr>
                <w:rFonts w:ascii="Arial" w:hAnsi="Arial"/>
                <w:b/>
                <w:color w:val="FFFFFF"/>
                <w:sz w:val="16"/>
              </w:rPr>
              <w:t>Destinataire</w:t>
            </w:r>
          </w:p>
        </w:tc>
        <w:tc>
          <w:tcPr>
            <w:tcW w:type="dxa" w:w="2721"/>
            <w:shd w:val="clear" w:fill="1F3864"/>
          </w:tcPr>
          <w:p>
            <w:pPr>
              <w:spacing w:after="20" w:before="20"/>
            </w:pPr>
            <w:r/>
            <w:r>
              <w:rPr>
                <w:rFonts w:ascii="Arial" w:hAnsi="Arial"/>
                <w:b/>
                <w:color w:val="FFFFFF"/>
                <w:sz w:val="16"/>
              </w:rPr>
              <w:t>Information</w:t>
            </w:r>
          </w:p>
        </w:tc>
        <w:tc>
          <w:tcPr>
            <w:tcW w:type="dxa" w:w="1928"/>
            <w:shd w:val="clear" w:fill="1F3864"/>
          </w:tcPr>
          <w:p>
            <w:pPr>
              <w:spacing w:after="20" w:before="20"/>
            </w:pPr>
            <w:r/>
            <w:r>
              <w:rPr>
                <w:rFonts w:ascii="Arial" w:hAnsi="Arial"/>
                <w:b/>
                <w:color w:val="FFFFFF"/>
                <w:sz w:val="16"/>
              </w:rPr>
              <w:t>Support</w:t>
            </w:r>
          </w:p>
        </w:tc>
        <w:tc>
          <w:tcPr>
            <w:tcW w:type="dxa" w:w="1474"/>
            <w:shd w:val="clear" w:fill="1F3864"/>
          </w:tcPr>
          <w:p>
            <w:pPr>
              <w:spacing w:after="20" w:before="20"/>
            </w:pPr>
            <w:r/>
            <w:r>
              <w:rPr>
                <w:rFonts w:ascii="Arial" w:hAnsi="Arial"/>
                <w:b/>
                <w:color w:val="FFFFFF"/>
                <w:sz w:val="16"/>
              </w:rPr>
              <w:t>Fréquence</w:t>
            </w:r>
          </w:p>
        </w:tc>
        <w:tc>
          <w:tcPr>
            <w:tcW w:type="dxa" w:w="1701"/>
            <w:shd w:val="clear" w:fill="1F3864"/>
          </w:tcPr>
          <w:p>
            <w:pPr>
              <w:spacing w:after="20" w:before="20"/>
            </w:pPr>
            <w:r/>
            <w:r>
              <w:rPr>
                <w:rFonts w:ascii="Arial" w:hAnsi="Arial"/>
                <w:b/>
                <w:color w:val="FFFFFF"/>
                <w:sz w:val="16"/>
              </w:rPr>
              <w:t>Émetteur</w:t>
            </w:r>
          </w:p>
        </w:tc>
      </w:tr>
      <w:tr>
        <w:tc>
          <w:tcPr>
            <w:tcW w:type="dxa" w:w="1928"/>
          </w:tcPr>
          <w:p>
            <w:pPr>
              <w:spacing w:after="20" w:before="20"/>
            </w:pPr>
            <w:r/>
            <w:r>
              <w:rPr>
                <w:rFonts w:ascii="Arial" w:hAnsi="Arial"/>
                <w:b w:val="0"/>
                <w:sz w:val="16"/>
              </w:rPr>
              <w:t>Responsable pédagogique</w:t>
            </w:r>
          </w:p>
        </w:tc>
        <w:tc>
          <w:tcPr>
            <w:tcW w:type="dxa" w:w="2721"/>
          </w:tcPr>
          <w:p>
            <w:pPr>
              <w:spacing w:after="20" w:before="20"/>
            </w:pPr>
            <w:r/>
            <w:r>
              <w:rPr>
                <w:rFonts w:ascii="Arial" w:hAnsi="Arial"/>
                <w:b w:val="0"/>
                <w:sz w:val="16"/>
              </w:rPr>
              <w:t>Avancement, points de décision</w:t>
            </w:r>
          </w:p>
        </w:tc>
        <w:tc>
          <w:tcPr>
            <w:tcW w:type="dxa" w:w="1928"/>
          </w:tcPr>
          <w:p>
            <w:pPr>
              <w:spacing w:after="20" w:before="20"/>
            </w:pPr>
            <w:r/>
            <w:r>
              <w:rPr>
                <w:rFonts w:ascii="Arial" w:hAnsi="Arial"/>
                <w:b w:val="0"/>
                <w:sz w:val="16"/>
              </w:rPr>
              <w:t>Point de travail</w:t>
            </w:r>
          </w:p>
        </w:tc>
        <w:tc>
          <w:tcPr>
            <w:tcW w:type="dxa" w:w="1474"/>
          </w:tcPr>
          <w:p>
            <w:pPr>
              <w:spacing w:after="20" w:before="20"/>
            </w:pPr>
            <w:r/>
            <w:r>
              <w:rPr>
                <w:rFonts w:ascii="Arial" w:hAnsi="Arial"/>
                <w:b w:val="0"/>
                <w:sz w:val="16"/>
              </w:rPr>
              <w:t>Hebdomadaire</w:t>
            </w:r>
          </w:p>
        </w:tc>
        <w:tc>
          <w:tcPr>
            <w:tcW w:type="dxa" w:w="1701"/>
          </w:tcPr>
          <w:p>
            <w:pPr>
              <w:spacing w:after="20" w:before="20"/>
            </w:pPr>
            <w:r/>
            <w:r>
              <w:rPr>
                <w:rFonts w:ascii="Arial" w:hAnsi="Arial"/>
                <w:b w:val="0"/>
                <w:sz w:val="16"/>
              </w:rPr>
              <w:t>Chef de projet</w:t>
            </w:r>
          </w:p>
        </w:tc>
      </w:tr>
      <w:tr>
        <w:tc>
          <w:tcPr>
            <w:tcW w:type="dxa" w:w="1928"/>
          </w:tcPr>
          <w:p>
            <w:pPr>
              <w:spacing w:after="20" w:before="20"/>
            </w:pPr>
            <w:r/>
            <w:r>
              <w:rPr>
                <w:rFonts w:ascii="Arial" w:hAnsi="Arial"/>
                <w:b w:val="0"/>
                <w:sz w:val="16"/>
              </w:rPr>
              <w:t>Formateurs</w:t>
            </w:r>
          </w:p>
        </w:tc>
        <w:tc>
          <w:tcPr>
            <w:tcW w:type="dxa" w:w="2721"/>
          </w:tcPr>
          <w:p>
            <w:pPr>
              <w:spacing w:after="20" w:before="20"/>
            </w:pPr>
            <w:r/>
            <w:r>
              <w:rPr>
                <w:rFonts w:ascii="Arial" w:hAnsi="Arial"/>
                <w:b w:val="0"/>
                <w:sz w:val="16"/>
              </w:rPr>
              <w:t>Avancement, sollicitations, retours</w:t>
            </w:r>
          </w:p>
        </w:tc>
        <w:tc>
          <w:tcPr>
            <w:tcW w:type="dxa" w:w="1928"/>
          </w:tcPr>
          <w:p>
            <w:pPr>
              <w:spacing w:after="20" w:before="20"/>
            </w:pPr>
            <w:r/>
            <w:r>
              <w:rPr>
                <w:rFonts w:ascii="Arial" w:hAnsi="Arial"/>
                <w:b w:val="0"/>
                <w:sz w:val="16"/>
              </w:rPr>
              <w:t>Comité pédagogique</w:t>
            </w:r>
          </w:p>
        </w:tc>
        <w:tc>
          <w:tcPr>
            <w:tcW w:type="dxa" w:w="1474"/>
          </w:tcPr>
          <w:p>
            <w:pPr>
              <w:spacing w:after="20" w:before="20"/>
            </w:pPr>
            <w:r/>
            <w:r>
              <w:rPr>
                <w:rFonts w:ascii="Arial" w:hAnsi="Arial"/>
                <w:b w:val="0"/>
                <w:sz w:val="16"/>
              </w:rPr>
              <w:t>Mensuelle</w:t>
            </w:r>
          </w:p>
        </w:tc>
        <w:tc>
          <w:tcPr>
            <w:tcW w:type="dxa" w:w="1701"/>
          </w:tcPr>
          <w:p>
            <w:pPr>
              <w:spacing w:after="20" w:before="20"/>
            </w:pPr>
            <w:r/>
            <w:r>
              <w:rPr>
                <w:rFonts w:ascii="Arial" w:hAnsi="Arial"/>
                <w:b w:val="0"/>
                <w:sz w:val="16"/>
              </w:rPr>
              <w:t>Responsable pédagogique</w:t>
            </w:r>
          </w:p>
        </w:tc>
      </w:tr>
      <w:tr>
        <w:tc>
          <w:tcPr>
            <w:tcW w:type="dxa" w:w="1928"/>
          </w:tcPr>
          <w:p>
            <w:pPr>
              <w:spacing w:after="20" w:before="20"/>
            </w:pPr>
            <w:r/>
            <w:r>
              <w:rPr>
                <w:rFonts w:ascii="Arial" w:hAnsi="Arial"/>
                <w:b w:val="0"/>
                <w:sz w:val="16"/>
              </w:rPr>
              <w:t>Direction</w:t>
            </w:r>
          </w:p>
        </w:tc>
        <w:tc>
          <w:tcPr>
            <w:tcW w:type="dxa" w:w="2721"/>
          </w:tcPr>
          <w:p>
            <w:pPr>
              <w:spacing w:after="20" w:before="20"/>
            </w:pPr>
            <w:r/>
            <w:r>
              <w:rPr>
                <w:rFonts w:ascii="Arial" w:hAnsi="Arial"/>
                <w:b w:val="0"/>
                <w:sz w:val="16"/>
              </w:rPr>
              <w:t>Franchissement de jalon, arbitrages</w:t>
            </w:r>
          </w:p>
        </w:tc>
        <w:tc>
          <w:tcPr>
            <w:tcW w:type="dxa" w:w="1928"/>
          </w:tcPr>
          <w:p>
            <w:pPr>
              <w:spacing w:after="20" w:before="20"/>
            </w:pPr>
            <w:r/>
            <w:r>
              <w:rPr>
                <w:rFonts w:ascii="Arial" w:hAnsi="Arial"/>
                <w:b w:val="0"/>
                <w:sz w:val="16"/>
              </w:rPr>
              <w:t>Comité de pilotage</w:t>
            </w:r>
          </w:p>
        </w:tc>
        <w:tc>
          <w:tcPr>
            <w:tcW w:type="dxa" w:w="1474"/>
          </w:tcPr>
          <w:p>
            <w:pPr>
              <w:spacing w:after="20" w:before="20"/>
            </w:pPr>
            <w:r/>
            <w:r>
              <w:rPr>
                <w:rFonts w:ascii="Arial" w:hAnsi="Arial"/>
                <w:b w:val="0"/>
                <w:sz w:val="16"/>
              </w:rPr>
              <w:t>Aux jalons</w:t>
            </w:r>
          </w:p>
        </w:tc>
        <w:tc>
          <w:tcPr>
            <w:tcW w:type="dxa" w:w="1701"/>
          </w:tcPr>
          <w:p>
            <w:pPr>
              <w:spacing w:after="20" w:before="20"/>
            </w:pPr>
            <w:r/>
            <w:r>
              <w:rPr>
                <w:rFonts w:ascii="Arial" w:hAnsi="Arial"/>
                <w:b w:val="0"/>
                <w:sz w:val="16"/>
              </w:rPr>
              <w:t>Chef de projet</w:t>
            </w:r>
          </w:p>
        </w:tc>
      </w:tr>
      <w:tr>
        <w:tc>
          <w:tcPr>
            <w:tcW w:type="dxa" w:w="1928"/>
          </w:tcPr>
          <w:p>
            <w:pPr>
              <w:spacing w:after="20" w:before="20"/>
            </w:pPr>
            <w:r/>
            <w:r>
              <w:rPr>
                <w:rFonts w:ascii="Arial" w:hAnsi="Arial"/>
                <w:b w:val="0"/>
                <w:sz w:val="16"/>
              </w:rPr>
              <w:t>Équipe commerciale</w:t>
            </w:r>
          </w:p>
        </w:tc>
        <w:tc>
          <w:tcPr>
            <w:tcW w:type="dxa" w:w="2721"/>
          </w:tcPr>
          <w:p>
            <w:pPr>
              <w:spacing w:after="20" w:before="20"/>
            </w:pPr>
            <w:r/>
            <w:r>
              <w:rPr>
                <w:rFonts w:ascii="Arial" w:hAnsi="Arial"/>
                <w:b w:val="0"/>
                <w:sz w:val="16"/>
              </w:rPr>
              <w:t>Disponibilité du programme</w:t>
            </w:r>
          </w:p>
        </w:tc>
        <w:tc>
          <w:tcPr>
            <w:tcW w:type="dxa" w:w="1928"/>
          </w:tcPr>
          <w:p>
            <w:pPr>
              <w:spacing w:after="20" w:before="20"/>
            </w:pPr>
            <w:r/>
            <w:r>
              <w:rPr>
                <w:rFonts w:ascii="Arial" w:hAnsi="Arial"/>
                <w:b w:val="0"/>
                <w:sz w:val="16"/>
              </w:rPr>
              <w:t>Note de synthèse</w:t>
            </w:r>
          </w:p>
        </w:tc>
        <w:tc>
          <w:tcPr>
            <w:tcW w:type="dxa" w:w="1474"/>
          </w:tcPr>
          <w:p>
            <w:pPr>
              <w:spacing w:after="20" w:before="20"/>
            </w:pPr>
            <w:r/>
            <w:r>
              <w:rPr>
                <w:rFonts w:ascii="Arial" w:hAnsi="Arial"/>
                <w:b w:val="0"/>
                <w:sz w:val="16"/>
              </w:rPr>
              <w:t>Aux jalons</w:t>
            </w:r>
          </w:p>
        </w:tc>
        <w:tc>
          <w:tcPr>
            <w:tcW w:type="dxa" w:w="1701"/>
          </w:tcPr>
          <w:p>
            <w:pPr>
              <w:spacing w:after="20" w:before="20"/>
            </w:pPr>
            <w:r/>
            <w:r>
              <w:rPr>
                <w:rFonts w:ascii="Arial" w:hAnsi="Arial"/>
                <w:b w:val="0"/>
                <w:sz w:val="16"/>
              </w:rPr>
              <w:t>Chef de projet</w:t>
            </w:r>
          </w:p>
        </w:tc>
      </w:tr>
      <w:tr>
        <w:tc>
          <w:tcPr>
            <w:tcW w:type="dxa" w:w="1928"/>
          </w:tcPr>
          <w:p>
            <w:pPr>
              <w:spacing w:after="20" w:before="20"/>
            </w:pPr>
            <w:r/>
            <w:r>
              <w:rPr>
                <w:rFonts w:ascii="Arial" w:hAnsi="Arial"/>
                <w:b w:val="0"/>
                <w:sz w:val="16"/>
              </w:rPr>
              <w:t>Certificateur</w:t>
            </w:r>
          </w:p>
        </w:tc>
        <w:tc>
          <w:tcPr>
            <w:tcW w:type="dxa" w:w="2721"/>
          </w:tcPr>
          <w:p>
            <w:pPr>
              <w:spacing w:after="20" w:before="20"/>
            </w:pPr>
            <w:r/>
            <w:r>
              <w:rPr>
                <w:rFonts w:ascii="Arial" w:hAnsi="Arial"/>
                <w:b w:val="0"/>
                <w:sz w:val="16"/>
              </w:rPr>
              <w:t>Programme soumis à avis</w:t>
            </w:r>
          </w:p>
        </w:tc>
        <w:tc>
          <w:tcPr>
            <w:tcW w:type="dxa" w:w="1928"/>
          </w:tcPr>
          <w:p>
            <w:pPr>
              <w:spacing w:after="20" w:before="20"/>
            </w:pPr>
            <w:r/>
            <w:r>
              <w:rPr>
                <w:rFonts w:ascii="Arial" w:hAnsi="Arial"/>
                <w:b w:val="0"/>
                <w:sz w:val="16"/>
              </w:rPr>
              <w:t>Revue d'expert</w:t>
            </w:r>
          </w:p>
        </w:tc>
        <w:tc>
          <w:tcPr>
            <w:tcW w:type="dxa" w:w="1474"/>
          </w:tcPr>
          <w:p>
            <w:pPr>
              <w:spacing w:after="20" w:before="20"/>
            </w:pPr>
            <w:r/>
            <w:r>
              <w:rPr>
                <w:rFonts w:ascii="Arial" w:hAnsi="Arial"/>
                <w:b w:val="0"/>
                <w:sz w:val="16"/>
              </w:rPr>
              <w:t>Une fois</w:t>
            </w:r>
          </w:p>
        </w:tc>
        <w:tc>
          <w:tcPr>
            <w:tcW w:type="dxa" w:w="1701"/>
          </w:tcPr>
          <w:p>
            <w:pPr>
              <w:spacing w:after="20" w:before="20"/>
            </w:pPr>
            <w:r/>
            <w:r>
              <w:rPr>
                <w:rFonts w:ascii="Arial" w:hAnsi="Arial"/>
                <w:b w:val="0"/>
                <w:sz w:val="16"/>
              </w:rPr>
              <w:t>Chef de projet</w:t>
            </w:r>
          </w:p>
        </w:tc>
      </w:tr>
      <w:tr>
        <w:tc>
          <w:tcPr>
            <w:tcW w:type="dxa" w:w="1928"/>
          </w:tcPr>
          <w:p>
            <w:pPr>
              <w:spacing w:after="20" w:before="20"/>
            </w:pPr>
            <w:r/>
            <w:r>
              <w:rPr>
                <w:rFonts w:ascii="Arial" w:hAnsi="Arial"/>
                <w:b w:val="0"/>
                <w:sz w:val="16"/>
              </w:rPr>
              <w:t>Étudiants</w:t>
            </w:r>
          </w:p>
        </w:tc>
        <w:tc>
          <w:tcPr>
            <w:tcW w:type="dxa" w:w="2721"/>
          </w:tcPr>
          <w:p>
            <w:pPr>
              <w:spacing w:after="20" w:before="20"/>
            </w:pPr>
            <w:r/>
            <w:r>
              <w:rPr>
                <w:rFonts w:ascii="Arial" w:hAnsi="Arial"/>
                <w:b w:val="0"/>
                <w:sz w:val="16"/>
              </w:rPr>
              <w:t>Parcours et progression</w:t>
            </w:r>
          </w:p>
        </w:tc>
        <w:tc>
          <w:tcPr>
            <w:tcW w:type="dxa" w:w="1928"/>
          </w:tcPr>
          <w:p>
            <w:pPr>
              <w:spacing w:after="20" w:before="20"/>
            </w:pPr>
            <w:r/>
            <w:r>
              <w:rPr>
                <w:rFonts w:ascii="Arial" w:hAnsi="Arial"/>
                <w:b w:val="0"/>
                <w:sz w:val="16"/>
              </w:rPr>
              <w:t>Rubans pédagogiques</w:t>
            </w:r>
          </w:p>
        </w:tc>
        <w:tc>
          <w:tcPr>
            <w:tcW w:type="dxa" w:w="1474"/>
          </w:tcPr>
          <w:p>
            <w:pPr>
              <w:spacing w:after="20" w:before="20"/>
            </w:pPr>
            <w:r/>
            <w:r>
              <w:rPr>
                <w:rFonts w:ascii="Arial" w:hAnsi="Arial"/>
                <w:b w:val="0"/>
                <w:sz w:val="16"/>
              </w:rPr>
              <w:t>À la rentrée</w:t>
            </w:r>
          </w:p>
        </w:tc>
        <w:tc>
          <w:tcPr>
            <w:tcW w:type="dxa" w:w="1701"/>
          </w:tcPr>
          <w:p>
            <w:pPr>
              <w:spacing w:after="20" w:before="20"/>
            </w:pPr>
            <w:r/>
            <w:r>
              <w:rPr>
                <w:rFonts w:ascii="Arial" w:hAnsi="Arial"/>
                <w:b w:val="0"/>
                <w:sz w:val="16"/>
              </w:rPr>
              <w:t>Responsable pédagogique</w:t>
            </w:r>
          </w:p>
        </w:tc>
      </w:tr>
    </w:tbl>
    <w:p>
      <w:pPr>
        <w:spacing w:before="0" w:after="120"/>
      </w:pPr>
    </w:p>
    <w:p>
      <w:pPr>
        <w:spacing w:before="0" w:after="100"/>
      </w:pPr>
      <w:r>
        <w:rPr>
          <w:rFonts w:ascii="Arial" w:hAnsi="Arial"/>
          <w:b w:val="0"/>
          <w:i/>
          <w:color w:val="606060"/>
          <w:sz w:val="18"/>
        </w:rPr>
        <w:t>La communication interne est portée par la responsable pédagogique et non par le chef de projet. Ce choix, pris en cours de projet, tient à la légitimité : un message venant d'elle n'a pas le même poids que le même message venant d'un intervenant présent un jour par semaine.</w:t>
      </w:r>
    </w:p>
    <w:p>
      <w:pPr>
        <w:spacing w:before="200" w:after="80"/>
      </w:pPr>
      <w:r>
        <w:rPr>
          <w:rFonts w:ascii="Arial" w:hAnsi="Arial"/>
          <w:b/>
          <w:i w:val="0"/>
          <w:color w:val="1F3864"/>
          <w:sz w:val="26"/>
        </w:rPr>
        <w:t>11.  Management des risques</w:t>
      </w:r>
    </w:p>
    <w:p>
      <w:pPr>
        <w:spacing w:before="120" w:after="40"/>
      </w:pPr>
      <w:r>
        <w:rPr>
          <w:rFonts w:ascii="Arial" w:hAnsi="Arial"/>
          <w:b/>
          <w:i w:val="0"/>
          <w:color w:val="1F3864"/>
          <w:sz w:val="21"/>
        </w:rPr>
        <w:t>11.1  Méthode</w:t>
      </w:r>
    </w:p>
    <w:p>
      <w:pPr>
        <w:spacing w:before="0" w:after="100"/>
      </w:pPr>
      <w:r>
        <w:rPr>
          <w:rFonts w:ascii="Arial" w:hAnsi="Arial"/>
          <w:b w:val="0"/>
          <w:i w:val="0"/>
          <w:color w:val="212121"/>
          <w:sz w:val="19"/>
        </w:rPr>
        <w:t>Les risques sont énoncés selon la syntaxe du modèle : un événement, causé par une cause identifiée, produisant une conséquence sur un objectif. Chacun est coté en probabilité et en impact sur une échelle de un à quatre ; le produit des deux donne une criticité. Au-delà de neuf, une réponse est obligatoire et un porteur est désigné.</w:t>
      </w:r>
    </w:p>
    <w:p>
      <w:pPr>
        <w:spacing w:before="120" w:after="40"/>
      </w:pPr>
      <w:r>
        <w:rPr>
          <w:rFonts w:ascii="Arial" w:hAnsi="Arial"/>
          <w:b/>
          <w:i w:val="0"/>
          <w:color w:val="1F3864"/>
          <w:sz w:val="21"/>
        </w:rPr>
        <w:t>11.2  Stratégies de réponse</w:t>
      </w:r>
    </w:p>
    <w:p>
      <w:pPr>
        <w:spacing w:before="0" w:after="100"/>
      </w:pPr>
      <w:r>
        <w:rPr>
          <w:rFonts w:ascii="Arial" w:hAnsi="Arial"/>
          <w:b w:val="0"/>
          <w:i w:val="0"/>
          <w:color w:val="212121"/>
          <w:sz w:val="19"/>
        </w:rPr>
        <w:t>Éviter, réduire, transférer ou accepter. Le transfert est exclu ici, faute de contrepartie contractuelle. La réduction est la stratégie dominante ; l'acceptation est réservée aux risques dont l'occurrence ne remettrait pas en cause la mise en service.</w:t>
      </w:r>
    </w:p>
    <w:p>
      <w:pPr>
        <w:spacing w:before="120" w:after="40"/>
      </w:pPr>
      <w:r>
        <w:rPr>
          <w:rFonts w:ascii="Arial" w:hAnsi="Arial"/>
          <w:b/>
          <w:i w:val="0"/>
          <w:color w:val="1F3864"/>
          <w:sz w:val="21"/>
        </w:rPr>
        <w:t>11.3  Suivi</w:t>
      </w:r>
    </w:p>
    <w:p>
      <w:pPr>
        <w:spacing w:before="0" w:after="100"/>
      </w:pPr>
      <w:r>
        <w:rPr>
          <w:rFonts w:ascii="Arial" w:hAnsi="Arial"/>
          <w:b w:val="0"/>
          <w:i w:val="0"/>
          <w:color w:val="212121"/>
          <w:sz w:val="19"/>
        </w:rPr>
        <w:t>Le registre est revu à chaque comité pédagogique. Un risque qui se réalise devient un problème et change de traitement : il quitte le registre des risques pour le suivi des actions, avec une échéance et un responsable.</w:t>
      </w:r>
    </w:p>
    <w:p>
      <w:pPr>
        <w:spacing w:before="80" w:after="40"/>
        <w:jc w:val="center"/>
      </w:pPr>
      <w:r>
        <w:drawing>
          <wp:inline xmlns:a="http://schemas.openxmlformats.org/drawingml/2006/main" xmlns:pic="http://schemas.openxmlformats.org/drawingml/2006/picture">
            <wp:extent cx="5976000" cy="2911385"/>
            <wp:docPr id="10" name="Picture 10"/>
            <wp:cNvGraphicFramePr>
              <a:graphicFrameLocks noChangeAspect="1"/>
            </wp:cNvGraphicFramePr>
            <a:graphic>
              <a:graphicData uri="http://schemas.openxmlformats.org/drawingml/2006/picture">
                <pic:pic>
                  <pic:nvPicPr>
                    <pic:cNvPr id="0" name="07-Registre_risques_B1B2_p1.png"/>
                    <pic:cNvPicPr/>
                  </pic:nvPicPr>
                  <pic:blipFill>
                    <a:blip r:embed="rId20"/>
                    <a:stretch>
                      <a:fillRect/>
                    </a:stretch>
                  </pic:blipFill>
                  <pic:spPr>
                    <a:xfrm>
                      <a:off x="0" y="0"/>
                      <a:ext cx="5976000" cy="2911385"/>
                    </a:xfrm>
                    <a:prstGeom prst="rect"/>
                  </pic:spPr>
                </pic:pic>
              </a:graphicData>
            </a:graphic>
          </wp:inline>
        </w:drawing>
      </w:r>
    </w:p>
    <w:p>
      <w:pPr>
        <w:spacing w:before="0" w:after="20"/>
        <w:jc w:val="center"/>
      </w:pPr>
      <w:r>
        <w:rPr>
          <w:rFonts w:ascii="Arial" w:hAnsi="Arial"/>
          <w:b w:val="0"/>
          <w:i/>
          <w:color w:val="606060"/>
          <w:sz w:val="16"/>
        </w:rPr>
        <w:t>Figure 10  ·  Les dix risques : énoncé selon la syntaxe du modèle, cotation, criticité calculée, responsable et actions</w:t>
      </w:r>
    </w:p>
    <w:p>
      <w:pPr>
        <w:spacing w:before="0" w:after="160"/>
        <w:jc w:val="center"/>
      </w:pPr>
      <w:r>
        <w:rPr>
          <w:rFonts w:ascii="Arial" w:hAnsi="Arial"/>
          <w:b w:val="0"/>
          <w:i/>
          <w:color w:val="606060"/>
          <w:sz w:val="15"/>
        </w:rPr>
        <w:t>Extrait de : registre des risques et des problèmes, version V3.0 du 14 août 2026. Le document complet figure en annexe.</w:t>
      </w:r>
    </w:p>
    <w:p>
      <w:pPr>
        <w:spacing w:before="80" w:after="40"/>
        <w:jc w:val="center"/>
      </w:pPr>
      <w:r>
        <w:drawing>
          <wp:inline xmlns:a="http://schemas.openxmlformats.org/drawingml/2006/main" xmlns:pic="http://schemas.openxmlformats.org/drawingml/2006/picture">
            <wp:extent cx="5112000" cy="2880828"/>
            <wp:docPr id="11" name="Picture 11"/>
            <wp:cNvGraphicFramePr>
              <a:graphicFrameLocks noChangeAspect="1"/>
            </wp:cNvGraphicFramePr>
            <a:graphic>
              <a:graphicData uri="http://schemas.openxmlformats.org/drawingml/2006/picture">
                <pic:pic>
                  <pic:nvPicPr>
                    <pic:cNvPr id="0" name="matrice_criticite.png"/>
                    <pic:cNvPicPr/>
                  </pic:nvPicPr>
                  <pic:blipFill>
                    <a:blip r:embed="rId21"/>
                    <a:stretch>
                      <a:fillRect/>
                    </a:stretch>
                  </pic:blipFill>
                  <pic:spPr>
                    <a:xfrm>
                      <a:off x="0" y="0"/>
                      <a:ext cx="5112000" cy="2880828"/>
                    </a:xfrm>
                    <a:prstGeom prst="rect"/>
                  </pic:spPr>
                </pic:pic>
              </a:graphicData>
            </a:graphic>
          </wp:inline>
        </w:drawing>
      </w:r>
    </w:p>
    <w:p>
      <w:pPr>
        <w:spacing w:before="0" w:after="20"/>
        <w:jc w:val="center"/>
      </w:pPr>
      <w:r>
        <w:rPr>
          <w:rFonts w:ascii="Arial" w:hAnsi="Arial"/>
          <w:b w:val="0"/>
          <w:i/>
          <w:color w:val="606060"/>
          <w:sz w:val="16"/>
        </w:rPr>
        <w:t>Figure 11  ·  Les dix risques du projet selon leur gravité et leur probabilité</w:t>
      </w:r>
    </w:p>
    <w:p>
      <w:pPr>
        <w:spacing w:before="0" w:after="160"/>
        <w:jc w:val="center"/>
      </w:pPr>
      <w:r>
        <w:rPr>
          <w:rFonts w:ascii="Arial" w:hAnsi="Arial"/>
          <w:b w:val="0"/>
          <w:i/>
          <w:color w:val="606060"/>
          <w:sz w:val="15"/>
        </w:rPr>
        <w:t>Source : registre des risques et des problèmes, version V3.0 du 14 août 2026.</w:t>
      </w:r>
    </w:p>
    <w:p>
      <w:pPr>
        <w:spacing w:before="80" w:after="40"/>
        <w:jc w:val="center"/>
      </w:pPr>
      <w:r>
        <w:drawing>
          <wp:inline xmlns:a="http://schemas.openxmlformats.org/drawingml/2006/main" xmlns:pic="http://schemas.openxmlformats.org/drawingml/2006/picture">
            <wp:extent cx="5976000" cy="2360685"/>
            <wp:docPr id="12" name="Picture 12"/>
            <wp:cNvGraphicFramePr>
              <a:graphicFrameLocks noChangeAspect="1"/>
            </wp:cNvGraphicFramePr>
            <a:graphic>
              <a:graphicData uri="http://schemas.openxmlformats.org/drawingml/2006/picture">
                <pic:pic>
                  <pic:nvPicPr>
                    <pic:cNvPr id="0" name="07-Registre_problemes_B1B2_p1.png"/>
                    <pic:cNvPicPr/>
                  </pic:nvPicPr>
                  <pic:blipFill>
                    <a:blip r:embed="rId22"/>
                    <a:stretch>
                      <a:fillRect/>
                    </a:stretch>
                  </pic:blipFill>
                  <pic:spPr>
                    <a:xfrm>
                      <a:off x="0" y="0"/>
                      <a:ext cx="5976000" cy="2360685"/>
                    </a:xfrm>
                    <a:prstGeom prst="rect"/>
                  </pic:spPr>
                </pic:pic>
              </a:graphicData>
            </a:graphic>
          </wp:inline>
        </w:drawing>
      </w:r>
    </w:p>
    <w:p>
      <w:pPr>
        <w:spacing w:before="0" w:after="20"/>
        <w:jc w:val="center"/>
      </w:pPr>
      <w:r>
        <w:rPr>
          <w:rFonts w:ascii="Arial" w:hAnsi="Arial"/>
          <w:b w:val="0"/>
          <w:i/>
          <w:color w:val="606060"/>
          <w:sz w:val="16"/>
        </w:rPr>
        <w:t>Figure 12  ·  Les six problèmes réellement survenus, leur traitement et leur statut</w:t>
      </w:r>
    </w:p>
    <w:p>
      <w:pPr>
        <w:spacing w:before="0" w:after="160"/>
        <w:jc w:val="center"/>
      </w:pPr>
      <w:r>
        <w:rPr>
          <w:rFonts w:ascii="Arial" w:hAnsi="Arial"/>
          <w:b w:val="0"/>
          <w:i/>
          <w:color w:val="606060"/>
          <w:sz w:val="15"/>
        </w:rPr>
        <w:t>Extrait de : registre des risques et des problèmes, version V3.0 du 14 août 2026. Le document complet figure en annexe.</w:t>
      </w:r>
    </w:p>
    <w:p>
      <w:pPr>
        <w:spacing w:before="200" w:after="80"/>
      </w:pPr>
      <w:r>
        <w:rPr>
          <w:rFonts w:ascii="Arial" w:hAnsi="Arial"/>
          <w:b/>
          <w:i w:val="0"/>
          <w:color w:val="1F3864"/>
          <w:sz w:val="26"/>
        </w:rPr>
        <w:t>12.  Management des approvisionnements</w:t>
      </w:r>
    </w:p>
    <w:p>
      <w:pPr>
        <w:spacing w:before="0" w:after="100"/>
      </w:pPr>
      <w:r>
        <w:rPr>
          <w:rFonts w:ascii="Arial" w:hAnsi="Arial"/>
          <w:b w:val="0"/>
          <w:i w:val="0"/>
          <w:color w:val="212121"/>
          <w:sz w:val="19"/>
        </w:rPr>
        <w:t>Le projet ne procède à aucun achat et ne passe aucun contrat. Cette section existe pour une seule décision, mais elle est structurante : face aux limites de l'outil de gestion en place, trois voies ont été comparées. Maintenir le processus par fichiers, sans coût mais sans passage à l'échelle. Demander une extension de l'outil existant, écartée parce que les fonctions attendues, auto-évaluation des compétences et appariement, ne relèvent pas de son domaine. Développer en interne, retenu pour un coût direct marginal et une réutilisabilité. Les seuls engagements financiers du projet sont un hébergement et des abonnements d'outillage, tous inférieurs aux seuils d'approbation de la direction.</w:t>
      </w:r>
    </w:p>
    <w:p>
      <w:pPr>
        <w:spacing w:before="200" w:after="80"/>
      </w:pPr>
      <w:r>
        <w:rPr>
          <w:rFonts w:ascii="Arial" w:hAnsi="Arial"/>
          <w:b/>
          <w:i w:val="0"/>
          <w:color w:val="1F3864"/>
          <w:sz w:val="26"/>
        </w:rPr>
        <w:t>13.  Management des parties prenantes</w:t>
      </w:r>
    </w:p>
    <w:p>
      <w:pPr>
        <w:spacing w:before="0" w:after="100"/>
      </w:pPr>
      <w:r>
        <w:rPr>
          <w:rFonts w:ascii="Arial" w:hAnsi="Arial"/>
          <w:b w:val="0"/>
          <w:i w:val="0"/>
          <w:color w:val="212121"/>
          <w:sz w:val="19"/>
        </w:rPr>
        <w:t>Douze parties prenantes sont identifiées, positionnées sur une matrice pouvoir-intérêt et associées à une stratégie d'engagement. Le registre est revu à chaque changement de configuration du projet. Une décision mérite d'être signalée : les formateurs ont été scindés en deux groupes après les premières résistances, parce qu'un groupe favorable et un groupe réservé n'appellent ni le même message ni le même effort. Les premiers sont associés et informés, les seconds font l'objet d'un engagement individuel. C'est cette distinction, plus que le volume de communication, qui a fait remonter le taux de réponse.</w:t>
      </w:r>
    </w:p>
    <w:p>
      <w:pPr>
        <w:spacing w:before="80" w:after="40"/>
        <w:jc w:val="center"/>
      </w:pPr>
      <w:r>
        <w:drawing>
          <wp:inline xmlns:a="http://schemas.openxmlformats.org/drawingml/2006/main" xmlns:pic="http://schemas.openxmlformats.org/drawingml/2006/picture">
            <wp:extent cx="5832000" cy="2732433"/>
            <wp:docPr id="13" name="Picture 13"/>
            <wp:cNvGraphicFramePr>
              <a:graphicFrameLocks noChangeAspect="1"/>
            </wp:cNvGraphicFramePr>
            <a:graphic>
              <a:graphicData uri="http://schemas.openxmlformats.org/drawingml/2006/picture">
                <pic:pic>
                  <pic:nvPicPr>
                    <pic:cNvPr id="0" name="05-Registre_PP_matrice_p1.png"/>
                    <pic:cNvPicPr/>
                  </pic:nvPicPr>
                  <pic:blipFill>
                    <a:blip r:embed="rId23"/>
                    <a:stretch>
                      <a:fillRect/>
                    </a:stretch>
                  </pic:blipFill>
                  <pic:spPr>
                    <a:xfrm>
                      <a:off x="0" y="0"/>
                      <a:ext cx="5832000" cy="2732433"/>
                    </a:xfrm>
                    <a:prstGeom prst="rect"/>
                  </pic:spPr>
                </pic:pic>
              </a:graphicData>
            </a:graphic>
          </wp:inline>
        </w:drawing>
      </w:r>
    </w:p>
    <w:p>
      <w:pPr>
        <w:spacing w:before="0" w:after="20"/>
        <w:jc w:val="center"/>
      </w:pPr>
      <w:r>
        <w:rPr>
          <w:rFonts w:ascii="Arial" w:hAnsi="Arial"/>
          <w:b w:val="0"/>
          <w:i/>
          <w:color w:val="606060"/>
          <w:sz w:val="16"/>
        </w:rPr>
        <w:t>Figure 13  ·  Les douze parties prenantes selon leur pouvoir et leur intérêt, et la stratégie qui en découle</w:t>
      </w:r>
    </w:p>
    <w:p>
      <w:pPr>
        <w:spacing w:before="0" w:after="160"/>
        <w:jc w:val="center"/>
      </w:pPr>
      <w:r>
        <w:rPr>
          <w:rFonts w:ascii="Arial" w:hAnsi="Arial"/>
          <w:b w:val="0"/>
          <w:i/>
          <w:color w:val="606060"/>
          <w:sz w:val="15"/>
        </w:rPr>
        <w:t>Extrait de : registre des parties prenantes, version V2.2 du 20 août 2026. Le document complet figure en annexe.</w:t>
      </w:r>
    </w:p>
    <w:p>
      <w:pPr>
        <w:spacing w:before="200" w:after="80"/>
      </w:pPr>
      <w:r>
        <w:rPr>
          <w:rFonts w:ascii="Arial" w:hAnsi="Arial"/>
          <w:b/>
          <w:i w:val="0"/>
          <w:color w:val="1F3864"/>
          <w:sz w:val="26"/>
        </w:rPr>
        <w:t>14.  Approbation du plan</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3061"/>
            <w:shd w:val="clear" w:fill="1F3864"/>
          </w:tcPr>
          <w:p>
            <w:pPr>
              <w:spacing w:after="20" w:before="20"/>
            </w:pPr>
            <w:r/>
            <w:r>
              <w:rPr>
                <w:rFonts w:ascii="Arial" w:hAnsi="Arial"/>
                <w:b/>
                <w:color w:val="FFFFFF"/>
                <w:sz w:val="17"/>
              </w:rPr>
              <w:t>Fonction</w:t>
            </w:r>
          </w:p>
        </w:tc>
        <w:tc>
          <w:tcPr>
            <w:tcW w:type="dxa" w:w="4762"/>
            <w:shd w:val="clear" w:fill="1F3864"/>
          </w:tcPr>
          <w:p>
            <w:pPr>
              <w:spacing w:after="20" w:before="20"/>
            </w:pPr>
            <w:r/>
            <w:r>
              <w:rPr>
                <w:rFonts w:ascii="Arial" w:hAnsi="Arial"/>
                <w:b/>
                <w:color w:val="FFFFFF"/>
                <w:sz w:val="17"/>
              </w:rPr>
              <w:t>Rôle dans l'approbation</w:t>
            </w:r>
          </w:p>
        </w:tc>
        <w:tc>
          <w:tcPr>
            <w:tcW w:type="dxa" w:w="1928"/>
            <w:shd w:val="clear" w:fill="1F3864"/>
          </w:tcPr>
          <w:p>
            <w:pPr>
              <w:spacing w:after="20" w:before="20"/>
            </w:pPr>
            <w:r/>
            <w:r>
              <w:rPr>
                <w:rFonts w:ascii="Arial" w:hAnsi="Arial"/>
                <w:b/>
                <w:color w:val="FFFFFF"/>
                <w:sz w:val="17"/>
              </w:rPr>
              <w:t>Date</w:t>
            </w:r>
          </w:p>
        </w:tc>
      </w:tr>
      <w:tr>
        <w:tc>
          <w:tcPr>
            <w:tcW w:type="dxa" w:w="3061"/>
          </w:tcPr>
          <w:p>
            <w:pPr>
              <w:spacing w:after="20" w:before="20"/>
            </w:pPr>
            <w:r/>
            <w:r>
              <w:rPr>
                <w:rFonts w:ascii="Arial" w:hAnsi="Arial"/>
                <w:b w:val="0"/>
                <w:sz w:val="17"/>
              </w:rPr>
              <w:t>Directeur IMIE Paris</w:t>
            </w:r>
          </w:p>
        </w:tc>
        <w:tc>
          <w:tcPr>
            <w:tcW w:type="dxa" w:w="4762"/>
          </w:tcPr>
          <w:p>
            <w:pPr>
              <w:spacing w:after="20" w:before="20"/>
            </w:pPr>
            <w:r/>
            <w:r>
              <w:rPr>
                <w:rFonts w:ascii="Arial" w:hAnsi="Arial"/>
                <w:b w:val="0"/>
                <w:sz w:val="17"/>
              </w:rPr>
              <w:t>Approuve les moyens et les jalons</w:t>
            </w:r>
          </w:p>
        </w:tc>
        <w:tc>
          <w:tcPr>
            <w:tcW w:type="dxa" w:w="1928"/>
          </w:tcPr>
          <w:p>
            <w:pPr>
              <w:spacing w:after="20" w:before="20"/>
            </w:pPr>
            <w:r/>
            <w:r>
              <w:rPr>
                <w:rFonts w:ascii="Arial" w:hAnsi="Arial"/>
                <w:b w:val="0"/>
                <w:sz w:val="17"/>
              </w:rPr>
              <w:t>12/01/2026</w:t>
            </w:r>
          </w:p>
        </w:tc>
      </w:tr>
      <w:tr>
        <w:tc>
          <w:tcPr>
            <w:tcW w:type="dxa" w:w="3061"/>
          </w:tcPr>
          <w:p>
            <w:pPr>
              <w:spacing w:after="20" w:before="20"/>
            </w:pPr>
            <w:r/>
            <w:r>
              <w:rPr>
                <w:rFonts w:ascii="Arial" w:hAnsi="Arial"/>
                <w:b w:val="0"/>
                <w:sz w:val="17"/>
              </w:rPr>
              <w:t>Responsable pédagogique</w:t>
            </w:r>
          </w:p>
        </w:tc>
        <w:tc>
          <w:tcPr>
            <w:tcW w:type="dxa" w:w="4762"/>
          </w:tcPr>
          <w:p>
            <w:pPr>
              <w:spacing w:after="20" w:before="20"/>
            </w:pPr>
            <w:r/>
            <w:r>
              <w:rPr>
                <w:rFonts w:ascii="Arial" w:hAnsi="Arial"/>
                <w:b w:val="0"/>
                <w:sz w:val="17"/>
              </w:rPr>
              <w:t>Approuve le contenu et la gouvernance</w:t>
            </w:r>
          </w:p>
        </w:tc>
        <w:tc>
          <w:tcPr>
            <w:tcW w:type="dxa" w:w="1928"/>
          </w:tcPr>
          <w:p>
            <w:pPr>
              <w:spacing w:after="20" w:before="20"/>
            </w:pPr>
            <w:r/>
            <w:r>
              <w:rPr>
                <w:rFonts w:ascii="Arial" w:hAnsi="Arial"/>
                <w:b w:val="0"/>
                <w:sz w:val="17"/>
              </w:rPr>
              <w:t>12/01/2026</w:t>
            </w:r>
          </w:p>
        </w:tc>
      </w:tr>
      <w:tr>
        <w:tc>
          <w:tcPr>
            <w:tcW w:type="dxa" w:w="3061"/>
          </w:tcPr>
          <w:p>
            <w:pPr>
              <w:spacing w:after="20" w:before="20"/>
            </w:pPr>
            <w:r/>
            <w:r>
              <w:rPr>
                <w:rFonts w:ascii="Arial" w:hAnsi="Arial"/>
                <w:b w:val="0"/>
                <w:sz w:val="17"/>
              </w:rPr>
              <w:t>Chef de projet</w:t>
            </w:r>
          </w:p>
        </w:tc>
        <w:tc>
          <w:tcPr>
            <w:tcW w:type="dxa" w:w="4762"/>
          </w:tcPr>
          <w:p>
            <w:pPr>
              <w:spacing w:after="20" w:before="20"/>
            </w:pPr>
            <w:r/>
            <w:r>
              <w:rPr>
                <w:rFonts w:ascii="Arial" w:hAnsi="Arial"/>
                <w:b w:val="0"/>
                <w:sz w:val="17"/>
              </w:rPr>
              <w:t>Rédige et tient à jour</w:t>
            </w:r>
          </w:p>
        </w:tc>
        <w:tc>
          <w:tcPr>
            <w:tcW w:type="dxa" w:w="1928"/>
          </w:tcPr>
          <w:p>
            <w:pPr>
              <w:spacing w:after="20" w:before="20"/>
            </w:pPr>
            <w:r/>
            <w:r>
              <w:rPr>
                <w:rFonts w:ascii="Arial" w:hAnsi="Arial"/>
                <w:b w:val="0"/>
                <w:sz w:val="17"/>
              </w:rPr>
              <w:t>20/08/2026</w:t>
            </w:r>
          </w:p>
        </w:tc>
      </w:tr>
    </w:tbl>
    <w:p>
      <w:pPr>
        <w:spacing w:before="0" w:after="120"/>
      </w:pPr>
    </w:p>
    <w:sectPr w:rsidR="00FC693F" w:rsidRPr="0006063C" w:rsidSect="00034616">
      <w:headerReference w:type="default" r:id="rId9"/>
      <w:footerReference w:type="default" r:id="rId10"/>
      <w:pgSz w:w="11906" w:h="16838"/>
      <w:pgMar w:top="1361" w:right="1077" w:bottom="964" w:left="1077"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06060"/>
        <w:sz w:val="16"/>
      </w:rPr>
      <w:t xml:space="preserve">IMIE Paris   ·   </w:t>
    </w:r>
    <w:fldSimple w:instr="PAGE">
      <w:r>
        <w:rPr>
          <w:sz w:val="16"/>
        </w:rPr>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auto" w:w="0"/>
      <w:tblLook w:firstColumn="1" w:firstRow="1" w:lastColumn="0" w:lastRow="0" w:noHBand="0" w:noVBand="1" w:val="04A0"/>
      <w:tblBorders>
        <w:top w:val="none"/>
        <w:left w:val="none"/>
        <w:bottom w:val="none"/>
        <w:right w:val="none"/>
        <w:insideH w:val="none"/>
        <w:insideV w:val="none"/>
      </w:tblBorders>
    </w:tblPr>
    <w:tblGrid>
      <w:gridCol w:w="3402"/>
      <w:gridCol w:w="6350"/>
    </w:tblGrid>
    <w:tr>
      <w:tc>
        <w:tcPr>
          <w:tcW w:type="dxa" w:w="4876"/>
        </w:tcPr>
        <w:p>
          <w:pPr>
            <w:spacing w:after="0"/>
          </w:pPr>
          <w:r>
            <w:drawing>
              <wp:inline xmlns:a="http://schemas.openxmlformats.org/drawingml/2006/main" xmlns:pic="http://schemas.openxmlformats.org/drawingml/2006/picture">
                <wp:extent cx="342000" cy="342000"/>
                <wp:docPr id="1" name="Picture 1"/>
                <wp:cNvGraphicFramePr>
                  <a:graphicFrameLocks noChangeAspect="1"/>
                </wp:cNvGraphicFramePr>
                <a:graphic>
                  <a:graphicData uri="http://schemas.openxmlformats.org/drawingml/2006/picture">
                    <pic:pic>
                      <pic:nvPicPr>
                        <pic:cNvPr id="0" name="logo_imie_entete.png"/>
                        <pic:cNvPicPr/>
                      </pic:nvPicPr>
                      <pic:blipFill>
                        <a:blip r:embed="rId1"/>
                        <a:stretch>
                          <a:fillRect/>
                        </a:stretch>
                      </pic:blipFill>
                      <pic:spPr>
                        <a:xfrm>
                          <a:off x="0" y="0"/>
                          <a:ext cx="342000" cy="342000"/>
                        </a:xfrm>
                        <a:prstGeom prst="rect"/>
                      </pic:spPr>
                    </pic:pic>
                  </a:graphicData>
                </a:graphic>
              </wp:inline>
            </w:drawing>
          </w:r>
        </w:p>
      </w:tc>
      <w:tc>
        <w:tcPr>
          <w:tcW w:type="dxa" w:w="4876"/>
        </w:tcPr>
        <w:p>
          <w:pPr>
            <w:spacing w:after="0" w:before="20"/>
            <w:jc w:val="right"/>
          </w:pPr>
          <w:r/>
          <w:r>
            <w:rPr>
              <w:rFonts w:ascii="Arial" w:hAnsi="Arial"/>
              <w:b/>
              <w:color w:val="1F3864"/>
              <w:sz w:val="18"/>
            </w:rPr>
            <w:t>Plan de management de projet · Structuration des parcours B1/B2 · B1B2-2026</w:t>
          </w:r>
        </w:p>
      </w:tc>
    </w:tr>
  </w:tbl>
  <w:p>
    <w:pPr>
      <w:spacing w:before="40" w:after="0"/>
      <w:pBdr>
        <w:bottom w:val="single" w:sz="6" w:color="1F3864"/>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