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none"/>
          <w:left w:val="none"/>
          <w:bottom w:val="none"/>
          <w:right w:val="none"/>
          <w:insideH w:val="none"/>
          <w:insideV w:val="none"/>
        </w:tblBorders>
      </w:tblPr>
      <w:tblGrid>
        <w:gridCol w:w="9752"/>
      </w:tblGrid>
      <w:tr>
        <w:tc>
          <w:tcPr>
            <w:tcW w:type="dxa" w:w="9752"/>
            <w:shd w:val="clear" w:fill="1F3864"/>
          </w:tcPr>
          <w:p>
            <w:pPr>
              <w:spacing w:after="0" w:before="20"/>
              <w:jc w:val="center"/>
            </w:pPr>
            <w:r/>
            <w:r>
              <w:rPr>
                <w:rFonts w:ascii="Arial" w:hAnsi="Arial"/>
                <w:b/>
                <w:color w:val="FFFFFF"/>
                <w:sz w:val="32"/>
              </w:rPr>
              <w:t>Expression des besoins</w:t>
            </w:r>
          </w:p>
          <w:p>
            <w:pPr>
              <w:spacing w:after="40"/>
              <w:jc w:val="center"/>
            </w:pPr>
            <w:r>
              <w:rPr>
                <w:rFonts w:ascii="Arial" w:hAnsi="Arial"/>
                <w:color w:val="D5DDEC"/>
                <w:sz w:val="20"/>
              </w:rPr>
              <w:t>Du besoin exprimé aux exigences · Structuration des parcours B1/B2</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608"/>
        <w:gridCol w:w="7143"/>
      </w:tblGrid>
      <w:tr>
        <w:tc>
          <w:tcPr>
            <w:tcW w:type="dxa" w:w="2608"/>
            <w:shd w:val="clear" w:fill="EAEFF7"/>
          </w:tcPr>
          <w:p>
            <w:pPr>
              <w:spacing w:after="40" w:before="20"/>
            </w:pPr>
            <w:r/>
            <w:r>
              <w:rPr>
                <w:rFonts w:ascii="Arial" w:hAnsi="Arial"/>
                <w:b/>
                <w:color w:val="1F3864"/>
                <w:sz w:val="18"/>
              </w:rPr>
              <w:t>Nom / Code projet</w:t>
            </w:r>
          </w:p>
        </w:tc>
        <w:tc>
          <w:tcPr>
            <w:tcW w:type="dxa" w:w="7143"/>
          </w:tcPr>
          <w:p>
            <w:pPr>
              <w:spacing w:after="40" w:before="20"/>
            </w:pPr>
            <w:r/>
            <w:r>
              <w:rPr>
                <w:rFonts w:ascii="Arial" w:hAnsi="Arial"/>
                <w:b w:val="0"/>
                <w:sz w:val="18"/>
              </w:rPr>
              <w:t>Structuration des parcours B1/B2  ·  B1B2-2026</w:t>
            </w:r>
          </w:p>
        </w:tc>
      </w:tr>
      <w:tr>
        <w:tc>
          <w:tcPr>
            <w:tcW w:type="dxa" w:w="2608"/>
            <w:shd w:val="clear" w:fill="EAEFF7"/>
          </w:tcPr>
          <w:p>
            <w:pPr>
              <w:spacing w:after="40" w:before="20"/>
            </w:pPr>
            <w:r/>
            <w:r>
              <w:rPr>
                <w:rFonts w:ascii="Arial" w:hAnsi="Arial"/>
                <w:b/>
                <w:color w:val="1F3864"/>
                <w:sz w:val="18"/>
              </w:rPr>
              <w:t>Référence</w:t>
            </w:r>
          </w:p>
        </w:tc>
        <w:tc>
          <w:tcPr>
            <w:tcW w:type="dxa" w:w="7143"/>
          </w:tcPr>
          <w:p>
            <w:pPr>
              <w:spacing w:after="40" w:before="20"/>
            </w:pPr>
            <w:r/>
            <w:r>
              <w:rPr>
                <w:rFonts w:ascii="Arial" w:hAnsi="Arial"/>
                <w:b w:val="0"/>
                <w:sz w:val="18"/>
              </w:rPr>
              <w:t>Fiche de poste : harmonisation et ingénierie des parcours B1/B2</w:t>
            </w:r>
          </w:p>
        </w:tc>
      </w:tr>
      <w:tr>
        <w:tc>
          <w:tcPr>
            <w:tcW w:type="dxa" w:w="2608"/>
            <w:shd w:val="clear" w:fill="EAEFF7"/>
          </w:tcPr>
          <w:p>
            <w:pPr>
              <w:spacing w:after="40" w:before="20"/>
            </w:pPr>
            <w:r/>
            <w:r>
              <w:rPr>
                <w:rFonts w:ascii="Arial" w:hAnsi="Arial"/>
                <w:b/>
                <w:color w:val="1F3864"/>
                <w:sz w:val="18"/>
              </w:rPr>
              <w:t>Rédacteur</w:t>
            </w:r>
          </w:p>
        </w:tc>
        <w:tc>
          <w:tcPr>
            <w:tcW w:type="dxa" w:w="7143"/>
          </w:tcPr>
          <w:p>
            <w:pPr>
              <w:spacing w:after="40" w:before="20"/>
            </w:pPr>
            <w:r/>
            <w:r>
              <w:rPr>
                <w:rFonts w:ascii="Arial" w:hAnsi="Arial"/>
                <w:b w:val="0"/>
                <w:sz w:val="18"/>
              </w:rPr>
              <w:t>Mohamed EL AFRIT, chargé de missions pédagogiques</w:t>
            </w:r>
          </w:p>
        </w:tc>
      </w:tr>
      <w:tr>
        <w:tc>
          <w:tcPr>
            <w:tcW w:type="dxa" w:w="2608"/>
            <w:shd w:val="clear" w:fill="EAEFF7"/>
          </w:tcPr>
          <w:p>
            <w:pPr>
              <w:spacing w:after="40" w:before="20"/>
            </w:pPr>
            <w:r/>
            <w:r>
              <w:rPr>
                <w:rFonts w:ascii="Arial" w:hAnsi="Arial"/>
                <w:b/>
                <w:color w:val="1F3864"/>
                <w:sz w:val="18"/>
              </w:rPr>
              <w:t>Destinataires</w:t>
            </w:r>
          </w:p>
        </w:tc>
        <w:tc>
          <w:tcPr>
            <w:tcW w:type="dxa" w:w="7143"/>
          </w:tcPr>
          <w:p>
            <w:pPr>
              <w:spacing w:after="40" w:before="20"/>
            </w:pPr>
            <w:r/>
            <w:r>
              <w:rPr>
                <w:rFonts w:ascii="Arial" w:hAnsi="Arial"/>
                <w:b w:val="0"/>
                <w:sz w:val="18"/>
              </w:rPr>
              <w:t>Direction, responsable pédagogique</w:t>
            </w:r>
          </w:p>
        </w:tc>
      </w:tr>
    </w:tbl>
    <w:p>
      <w:pPr>
        <w:spacing w:before="0" w:after="80"/>
      </w:pPr>
    </w:p>
    <w:p>
      <w:pPr>
        <w:spacing w:before="40" w:after="60"/>
      </w:pPr>
      <w:r>
        <w:rPr>
          <w:rFonts w:ascii="Arial" w:hAnsi="Arial"/>
          <w:b/>
          <w:i w:val="0"/>
          <w:color w:val="1F3864"/>
          <w:sz w:val="20"/>
        </w:rPr>
        <w:t>Historique du document</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438"/>
        <w:gridCol w:w="2438"/>
        <w:gridCol w:w="2438"/>
        <w:gridCol w:w="2438"/>
      </w:tblGrid>
      <w:tr>
        <w:tc>
          <w:tcPr>
            <w:tcW w:type="dxa" w:w="907"/>
            <w:shd w:val="clear" w:fill="1F3864"/>
          </w:tcPr>
          <w:p>
            <w:pPr>
              <w:spacing w:after="40" w:before="20"/>
            </w:pPr>
            <w:r/>
            <w:r>
              <w:rPr>
                <w:rFonts w:ascii="Arial" w:hAnsi="Arial"/>
                <w:b/>
                <w:color w:val="FFFFFF"/>
                <w:sz w:val="18"/>
              </w:rPr>
              <w:t>Version</w:t>
            </w:r>
          </w:p>
        </w:tc>
        <w:tc>
          <w:tcPr>
            <w:tcW w:type="dxa" w:w="2494"/>
            <w:shd w:val="clear" w:fill="1F3864"/>
          </w:tcPr>
          <w:p>
            <w:pPr>
              <w:spacing w:after="40" w:before="20"/>
            </w:pPr>
            <w:r/>
            <w:r>
              <w:rPr>
                <w:rFonts w:ascii="Arial" w:hAnsi="Arial"/>
                <w:b/>
                <w:color w:val="FFFFFF"/>
                <w:sz w:val="18"/>
              </w:rPr>
              <w:t>Auteur</w:t>
            </w:r>
          </w:p>
        </w:tc>
        <w:tc>
          <w:tcPr>
            <w:tcW w:type="dxa" w:w="4649"/>
            <w:shd w:val="clear" w:fill="1F3864"/>
          </w:tcPr>
          <w:p>
            <w:pPr>
              <w:spacing w:after="40" w:before="20"/>
            </w:pPr>
            <w:r/>
            <w:r>
              <w:rPr>
                <w:rFonts w:ascii="Arial" w:hAnsi="Arial"/>
                <w:b/>
                <w:color w:val="FFFFFF"/>
                <w:sz w:val="18"/>
              </w:rPr>
              <w:t>Description</w:t>
            </w:r>
          </w:p>
        </w:tc>
        <w:tc>
          <w:tcPr>
            <w:tcW w:type="dxa" w:w="1701"/>
            <w:shd w:val="clear" w:fill="1F3864"/>
          </w:tcPr>
          <w:p>
            <w:pPr>
              <w:spacing w:after="40" w:before="20"/>
            </w:pPr>
            <w:r/>
            <w:r>
              <w:rPr>
                <w:rFonts w:ascii="Arial" w:hAnsi="Arial"/>
                <w:b/>
                <w:color w:val="FFFFFF"/>
                <w:sz w:val="18"/>
              </w:rPr>
              <w:t>Date</w:t>
            </w:r>
          </w:p>
        </w:tc>
      </w:tr>
      <w:tr>
        <w:tc>
          <w:tcPr>
            <w:tcW w:type="dxa" w:w="907"/>
          </w:tcPr>
          <w:p>
            <w:pPr>
              <w:spacing w:after="40" w:before="20"/>
            </w:pPr>
            <w:r/>
            <w:r>
              <w:rPr>
                <w:rFonts w:ascii="Arial" w:hAnsi="Arial"/>
                <w:b w:val="0"/>
                <w:sz w:val="18"/>
              </w:rPr>
              <w:t>V1.0</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Première expression, avec le diagnostic</w:t>
            </w:r>
          </w:p>
        </w:tc>
        <w:tc>
          <w:tcPr>
            <w:tcW w:type="dxa" w:w="1701"/>
          </w:tcPr>
          <w:p>
            <w:pPr>
              <w:spacing w:after="40" w:before="20"/>
            </w:pPr>
            <w:r/>
            <w:r>
              <w:rPr>
                <w:rFonts w:ascii="Arial" w:hAnsi="Arial"/>
                <w:b w:val="0"/>
                <w:sz w:val="18"/>
              </w:rPr>
              <w:t>17/03/2026</w:t>
            </w:r>
          </w:p>
        </w:tc>
      </w:tr>
      <w:tr>
        <w:tc>
          <w:tcPr>
            <w:tcW w:type="dxa" w:w="907"/>
          </w:tcPr>
          <w:p>
            <w:pPr>
              <w:spacing w:after="40" w:before="20"/>
            </w:pPr>
            <w:r/>
            <w:r>
              <w:rPr>
                <w:rFonts w:ascii="Arial" w:hAnsi="Arial"/>
                <w:b w:val="0"/>
                <w:sz w:val="18"/>
              </w:rPr>
              <w:t>V1.1</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Besoin d'outillage de la collecte ajouté</w:t>
            </w:r>
          </w:p>
        </w:tc>
        <w:tc>
          <w:tcPr>
            <w:tcW w:type="dxa" w:w="1701"/>
          </w:tcPr>
          <w:p>
            <w:pPr>
              <w:spacing w:after="40" w:before="20"/>
            </w:pPr>
            <w:r/>
            <w:r>
              <w:rPr>
                <w:rFonts w:ascii="Arial" w:hAnsi="Arial"/>
                <w:b w:val="0"/>
                <w:sz w:val="18"/>
              </w:rPr>
              <w:t>01/04/2026</w:t>
            </w:r>
          </w:p>
        </w:tc>
      </w:tr>
      <w:tr>
        <w:tc>
          <w:tcPr>
            <w:tcW w:type="dxa" w:w="907"/>
          </w:tcPr>
          <w:p>
            <w:pPr>
              <w:spacing w:after="40" w:before="20"/>
            </w:pPr>
            <w:r/>
            <w:r>
              <w:rPr>
                <w:rFonts w:ascii="Arial" w:hAnsi="Arial"/>
                <w:b w:val="0"/>
                <w:sz w:val="18"/>
              </w:rPr>
              <w:t>V2.0</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Reformulation après la revue d'expert</w:t>
            </w:r>
          </w:p>
        </w:tc>
        <w:tc>
          <w:tcPr>
            <w:tcW w:type="dxa" w:w="1701"/>
          </w:tcPr>
          <w:p>
            <w:pPr>
              <w:spacing w:after="40" w:before="20"/>
            </w:pPr>
            <w:r/>
            <w:r>
              <w:rPr>
                <w:rFonts w:ascii="Arial" w:hAnsi="Arial"/>
                <w:b w:val="0"/>
                <w:sz w:val="18"/>
              </w:rPr>
              <w:t>15/05/2026</w:t>
            </w:r>
          </w:p>
        </w:tc>
      </w:tr>
      <w:tr>
        <w:tc>
          <w:tcPr>
            <w:tcW w:type="dxa" w:w="907"/>
          </w:tcPr>
          <w:p>
            <w:pPr>
              <w:spacing w:after="40" w:before="20"/>
            </w:pPr>
            <w:r/>
            <w:r>
              <w:rPr>
                <w:rFonts w:ascii="Arial" w:hAnsi="Arial"/>
                <w:b w:val="0"/>
                <w:sz w:val="18"/>
              </w:rPr>
              <w:t>V2.1</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Consolidation de clôture</w:t>
            </w:r>
          </w:p>
        </w:tc>
        <w:tc>
          <w:tcPr>
            <w:tcW w:type="dxa" w:w="1701"/>
          </w:tcPr>
          <w:p>
            <w:pPr>
              <w:spacing w:after="40" w:before="20"/>
            </w:pPr>
            <w:r/>
            <w:r>
              <w:rPr>
                <w:rFonts w:ascii="Arial" w:hAnsi="Arial"/>
                <w:b w:val="0"/>
                <w:sz w:val="18"/>
              </w:rPr>
              <w:t>20/08/2026</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Contexte du projet</w:t>
            </w:r>
          </w:p>
        </w:tc>
      </w:tr>
      <w:tr>
        <w:tc>
          <w:tcPr>
            <w:tcW w:type="dxa" w:w="9752"/>
          </w:tcPr>
          <w:p>
            <w:pPr>
              <w:spacing w:after="60" w:before="20"/>
            </w:pPr>
            <w:r/>
            <w:r>
              <w:rPr>
                <w:rFonts w:ascii="Arial" w:hAnsi="Arial"/>
                <w:b w:val="0"/>
                <w:sz w:val="19"/>
              </w:rPr>
              <w:t>IMIE Paris prépare en alternance à deux titres de niveau six visés en troisième année, portés par un certificateur tiers. Les deux premières années forment un tronc commun interne sans programme formalisé : chaque formateur définit ses contenus, les prérequis restent implicites et les évaluations ne préparent pas à la logique de blocs de compétences. Des étudiants abordent donc l'année de certification sans les acquis nécessaires, sur un parcours qu'ils financent depuis trois ans. La campagne commerciale de la promotion suivante est déjà lancée : le programme doit exister avant la rentrée.</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Le besoin exprimé par le commanditaire</w:t>
            </w:r>
          </w:p>
        </w:tc>
      </w:tr>
      <w:tr>
        <w:tc>
          <w:tcPr>
            <w:tcW w:type="dxa" w:w="9752"/>
          </w:tcPr>
          <w:p>
            <w:pPr>
              <w:spacing w:after="60" w:before="20"/>
            </w:pPr>
            <w:r/>
            <w:r>
              <w:rPr>
                <w:rFonts w:ascii="Arial" w:hAnsi="Arial"/>
                <w:b w:val="0"/>
                <w:sz w:val="19"/>
              </w:rPr>
              <w:t>La demande, formulée par la direction et relayée par la responsable pédagogique, tient en une phrase : produire les programmes de formation, les fiches modules et les matrices des deux premières années. Elle désigne des livrables documentaires et propose donc déjà une solution.</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Le besoin réel, établi par le diagnostic</w:t>
            </w:r>
          </w:p>
        </w:tc>
      </w:tr>
      <w:tr>
        <w:tc>
          <w:tcPr>
            <w:tcW w:type="dxa" w:w="9752"/>
          </w:tcPr>
          <w:p>
            <w:pPr>
              <w:spacing w:after="60" w:before="20"/>
            </w:pPr>
            <w:r/>
            <w:r>
              <w:rPr>
                <w:rFonts w:ascii="Arial" w:hAnsi="Arial"/>
                <w:b w:val="0"/>
                <w:sz w:val="19"/>
              </w:rPr>
              <w:t>Le diagnostic conduit en mars, appuyé sur l'analyse des référentiels, l'inventaire des contenus réellement enseignés, les échanges avec les formateurs et l'observation directe, fait apparaître un besoin plus large que la commande. Il ne s'agit pas de produire des documents mais de construire une continuité pédagogique sur trois ans : garantir l'acquisition progressive des compétences attendues en fin de cycle, donner aux formateurs un cadre de référence commun qu'ils s'approprient, et rendre le parcours pilotable par des indicateurs. La production documentaire est le moyen ; la transformation des pratiques est la fin.</w:t>
            </w:r>
          </w:p>
          <w:p>
            <w:pPr>
              <w:spacing w:after="60"/>
            </w:pPr>
            <w:r>
              <w:rPr>
                <w:rFonts w:ascii="Arial" w:hAnsi="Arial"/>
                <w:b w:val="0"/>
                <w:sz w:val="19"/>
              </w:rPr>
              <w:t>Le diagnostic établit aussi ce que la formation seule ne résoudra pas : la coordination entre formateurs, l'absence d'instance pédagogique régulière et la difficulté à recruter certains profils relèvent de l'organisation. Le projet les prend en compte sans prétendre les traiter seul.</w:t>
            </w:r>
          </w:p>
        </w:tc>
      </w:tr>
    </w:tbl>
    <w:p>
      <w:pPr>
        <w:spacing w:before="0" w:after="120"/>
      </w:pPr>
    </w:p>
    <w:p>
      <w:pPr>
        <w:spacing w:before="40" w:after="60"/>
      </w:pPr>
      <w:r>
        <w:rPr>
          <w:rFonts w:ascii="Arial" w:hAnsi="Arial"/>
          <w:b/>
          <w:i w:val="0"/>
          <w:color w:val="1F3864"/>
          <w:sz w:val="20"/>
        </w:rPr>
        <w:t>De la demande au besoin, puis aux exigences</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2608"/>
            <w:shd w:val="clear" w:fill="1F3864"/>
          </w:tcPr>
          <w:p>
            <w:pPr>
              <w:spacing w:after="20" w:before="20"/>
            </w:pPr>
            <w:r/>
            <w:r>
              <w:rPr>
                <w:rFonts w:ascii="Arial" w:hAnsi="Arial"/>
                <w:b/>
                <w:color w:val="FFFFFF"/>
                <w:sz w:val="17"/>
              </w:rPr>
              <w:t>Ce que demande le commanditaire</w:t>
            </w:r>
          </w:p>
        </w:tc>
        <w:tc>
          <w:tcPr>
            <w:tcW w:type="dxa" w:w="3175"/>
            <w:shd w:val="clear" w:fill="1F3864"/>
          </w:tcPr>
          <w:p>
            <w:pPr>
              <w:spacing w:after="20" w:before="20"/>
            </w:pPr>
            <w:r/>
            <w:r>
              <w:rPr>
                <w:rFonts w:ascii="Arial" w:hAnsi="Arial"/>
                <w:b/>
                <w:color w:val="FFFFFF"/>
                <w:sz w:val="17"/>
              </w:rPr>
              <w:t>Ce que révèle le diagnostic</w:t>
            </w:r>
          </w:p>
        </w:tc>
        <w:tc>
          <w:tcPr>
            <w:tcW w:type="dxa" w:w="3969"/>
            <w:shd w:val="clear" w:fill="1F3864"/>
          </w:tcPr>
          <w:p>
            <w:pPr>
              <w:spacing w:after="20" w:before="20"/>
            </w:pPr>
            <w:r/>
            <w:r>
              <w:rPr>
                <w:rFonts w:ascii="Arial" w:hAnsi="Arial"/>
                <w:b/>
                <w:color w:val="FFFFFF"/>
                <w:sz w:val="17"/>
              </w:rPr>
              <w:t>Exigences qui en découlent</w:t>
            </w:r>
          </w:p>
        </w:tc>
      </w:tr>
      <w:tr>
        <w:tc>
          <w:tcPr>
            <w:tcW w:type="dxa" w:w="2608"/>
          </w:tcPr>
          <w:p>
            <w:pPr>
              <w:spacing w:after="20" w:before="20"/>
            </w:pPr>
            <w:r/>
            <w:r>
              <w:rPr>
                <w:rFonts w:ascii="Arial" w:hAnsi="Arial"/>
                <w:b w:val="0"/>
                <w:sz w:val="17"/>
              </w:rPr>
              <w:t>Produire des programmes de formation</w:t>
            </w:r>
          </w:p>
        </w:tc>
        <w:tc>
          <w:tcPr>
            <w:tcW w:type="dxa" w:w="3175"/>
          </w:tcPr>
          <w:p>
            <w:pPr>
              <w:spacing w:after="20" w:before="20"/>
            </w:pPr>
            <w:r/>
            <w:r>
              <w:rPr>
                <w:rFonts w:ascii="Arial" w:hAnsi="Arial"/>
                <w:b w:val="0"/>
                <w:sz w:val="17"/>
              </w:rPr>
              <w:t>Les contenus enseignés ne préparent pas la certification visée</w:t>
            </w:r>
          </w:p>
        </w:tc>
        <w:tc>
          <w:tcPr>
            <w:tcW w:type="dxa" w:w="3969"/>
          </w:tcPr>
          <w:p>
            <w:pPr>
              <w:spacing w:after="20" w:before="20"/>
            </w:pPr>
            <w:r/>
            <w:r>
              <w:rPr>
                <w:rFonts w:ascii="Arial" w:hAnsi="Arial"/>
                <w:b w:val="0"/>
                <w:sz w:val="17"/>
              </w:rPr>
              <w:t>E01 alignement sur les compétences de fin de cycle, E02 couverture intégrale des prérequis</w:t>
            </w:r>
          </w:p>
        </w:tc>
      </w:tr>
      <w:tr>
        <w:tc>
          <w:tcPr>
            <w:tcW w:type="dxa" w:w="2608"/>
          </w:tcPr>
          <w:p>
            <w:pPr>
              <w:spacing w:after="20" w:before="20"/>
            </w:pPr>
            <w:r/>
            <w:r>
              <w:rPr>
                <w:rFonts w:ascii="Arial" w:hAnsi="Arial"/>
                <w:b w:val="0"/>
                <w:sz w:val="17"/>
              </w:rPr>
              <w:t>Produire des fiches modules</w:t>
            </w:r>
          </w:p>
        </w:tc>
        <w:tc>
          <w:tcPr>
            <w:tcW w:type="dxa" w:w="3175"/>
          </w:tcPr>
          <w:p>
            <w:pPr>
              <w:spacing w:after="20" w:before="20"/>
            </w:pPr>
            <w:r/>
            <w:r>
              <w:rPr>
                <w:rFonts w:ascii="Arial" w:hAnsi="Arial"/>
                <w:b w:val="0"/>
                <w:sz w:val="17"/>
              </w:rPr>
              <w:t>Les formateurs n'ont aucun cadre commun et n'ont pas participé à sa conception</w:t>
            </w:r>
          </w:p>
        </w:tc>
        <w:tc>
          <w:tcPr>
            <w:tcW w:type="dxa" w:w="3969"/>
          </w:tcPr>
          <w:p>
            <w:pPr>
              <w:spacing w:after="20" w:before="20"/>
            </w:pPr>
            <w:r/>
            <w:r>
              <w:rPr>
                <w:rFonts w:ascii="Arial" w:hAnsi="Arial"/>
                <w:b w:val="0"/>
                <w:sz w:val="17"/>
              </w:rPr>
              <w:t>E05 fiches homogènes, E10 fiches sans nom d'intervenant, relecture croisée par les formateurs</w:t>
            </w:r>
          </w:p>
        </w:tc>
      </w:tr>
      <w:tr>
        <w:tc>
          <w:tcPr>
            <w:tcW w:type="dxa" w:w="2608"/>
          </w:tcPr>
          <w:p>
            <w:pPr>
              <w:spacing w:after="20" w:before="20"/>
            </w:pPr>
            <w:r/>
            <w:r>
              <w:rPr>
                <w:rFonts w:ascii="Arial" w:hAnsi="Arial"/>
                <w:b w:val="0"/>
                <w:sz w:val="17"/>
              </w:rPr>
              <w:t>Produire des matrices</w:t>
            </w:r>
          </w:p>
        </w:tc>
        <w:tc>
          <w:tcPr>
            <w:tcW w:type="dxa" w:w="3175"/>
          </w:tcPr>
          <w:p>
            <w:pPr>
              <w:spacing w:after="20" w:before="20"/>
            </w:pPr>
            <w:r/>
            <w:r>
              <w:rPr>
                <w:rFonts w:ascii="Arial" w:hAnsi="Arial"/>
                <w:b w:val="0"/>
                <w:sz w:val="17"/>
              </w:rPr>
              <w:t>Personne ne sait si un module prépare réellement une compétence</w:t>
            </w:r>
          </w:p>
        </w:tc>
        <w:tc>
          <w:tcPr>
            <w:tcW w:type="dxa" w:w="3969"/>
          </w:tcPr>
          <w:p>
            <w:pPr>
              <w:spacing w:after="20" w:before="20"/>
            </w:pPr>
            <w:r/>
            <w:r>
              <w:rPr>
                <w:rFonts w:ascii="Arial" w:hAnsi="Arial"/>
                <w:b w:val="0"/>
                <w:sz w:val="17"/>
              </w:rPr>
              <w:t>E02 couverture, E03 progression sans rupture de prérequis</w:t>
            </w:r>
          </w:p>
        </w:tc>
      </w:tr>
      <w:tr>
        <w:tc>
          <w:tcPr>
            <w:tcW w:type="dxa" w:w="2608"/>
          </w:tcPr>
          <w:p>
            <w:pPr>
              <w:spacing w:after="20" w:before="20"/>
            </w:pPr>
            <w:r/>
            <w:r>
              <w:rPr>
                <w:rFonts w:ascii="Arial" w:hAnsi="Arial"/>
                <w:b w:val="0"/>
                <w:sz w:val="17"/>
              </w:rPr>
              <w:t>Tenir la rentrée</w:t>
            </w:r>
          </w:p>
        </w:tc>
        <w:tc>
          <w:tcPr>
            <w:tcW w:type="dxa" w:w="3175"/>
          </w:tcPr>
          <w:p>
            <w:pPr>
              <w:spacing w:after="20" w:before="20"/>
            </w:pPr>
            <w:r/>
            <w:r>
              <w:rPr>
                <w:rFonts w:ascii="Arial" w:hAnsi="Arial"/>
                <w:b w:val="0"/>
                <w:sz w:val="17"/>
              </w:rPr>
              <w:t>Le programme est commercialisé avant d'être conçu</w:t>
            </w:r>
          </w:p>
        </w:tc>
        <w:tc>
          <w:tcPr>
            <w:tcW w:type="dxa" w:w="3969"/>
          </w:tcPr>
          <w:p>
            <w:pPr>
              <w:spacing w:after="20" w:before="20"/>
            </w:pPr>
            <w:r/>
            <w:r>
              <w:rPr>
                <w:rFonts w:ascii="Arial" w:hAnsi="Arial"/>
                <w:b w:val="0"/>
                <w:sz w:val="17"/>
              </w:rPr>
              <w:t>E19 appareil documentaire disponible avant l'accueil de la promotion</w:t>
            </w:r>
          </w:p>
        </w:tc>
      </w:tr>
      <w:tr>
        <w:tc>
          <w:tcPr>
            <w:tcW w:type="dxa" w:w="2608"/>
          </w:tcPr>
          <w:p>
            <w:pPr>
              <w:spacing w:after="20" w:before="20"/>
            </w:pPr>
            <w:r/>
            <w:r>
              <w:rPr>
                <w:rFonts w:ascii="Arial" w:hAnsi="Arial"/>
                <w:b w:val="0"/>
                <w:sz w:val="17"/>
              </w:rPr>
              <w:t>(non exprimé)</w:t>
            </w:r>
          </w:p>
        </w:tc>
        <w:tc>
          <w:tcPr>
            <w:tcW w:type="dxa" w:w="3175"/>
          </w:tcPr>
          <w:p>
            <w:pPr>
              <w:spacing w:after="20" w:before="20"/>
            </w:pPr>
            <w:r/>
            <w:r>
              <w:rPr>
                <w:rFonts w:ascii="Arial" w:hAnsi="Arial"/>
                <w:b w:val="0"/>
                <w:sz w:val="17"/>
              </w:rPr>
              <w:t>La collecte des disponibilités par fichier ne passe pas à l'échelle</w:t>
            </w:r>
          </w:p>
        </w:tc>
        <w:tc>
          <w:tcPr>
            <w:tcW w:type="dxa" w:w="3969"/>
          </w:tcPr>
          <w:p>
            <w:pPr>
              <w:spacing w:after="20" w:before="20"/>
            </w:pPr>
            <w:r/>
            <w:r>
              <w:rPr>
                <w:rFonts w:ascii="Arial" w:hAnsi="Arial"/>
                <w:b w:val="0"/>
                <w:sz w:val="17"/>
              </w:rPr>
              <w:t>E11 à E18, du recueil en ligne à la protection des données</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Expression des exigences</w:t>
            </w:r>
          </w:p>
        </w:tc>
      </w:tr>
      <w:tr>
        <w:tc>
          <w:tcPr>
            <w:tcW w:type="dxa" w:w="9752"/>
          </w:tcPr>
          <w:p>
            <w:pPr>
              <w:spacing w:after="60" w:before="20"/>
            </w:pPr>
            <w:r/>
            <w:r>
              <w:rPr>
                <w:rFonts w:ascii="Arial" w:hAnsi="Arial"/>
                <w:b w:val="0"/>
                <w:sz w:val="19"/>
              </w:rPr>
              <w:t>Vingt-quatre exigences ont été formalisées, priorisées et rattachées à leur lot de travail et à leur demandeur ; elles font l'objet d'un document dédié, la matrice des exigences. Treize sont indispensables, huit souhaitables, deux appréciables ; une seule, la constitution d'un titre propre à l'établissement, est explicitement écartée du périmètre et renvoyée à un projet ultérieur.</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Ce que ce document engage</w:t>
            </w:r>
          </w:p>
        </w:tc>
      </w:tr>
      <w:tr>
        <w:tc>
          <w:tcPr>
            <w:tcW w:type="dxa" w:w="9752"/>
          </w:tcPr>
          <w:p>
            <w:pPr>
              <w:spacing w:after="60" w:before="20"/>
            </w:pPr>
            <w:r/>
            <w:r>
              <w:rPr>
                <w:rFonts w:ascii="Arial" w:hAnsi="Arial"/>
                <w:b w:val="0"/>
                <w:sz w:val="19"/>
              </w:rPr>
              <w:t>Reformuler la demande n'est pas la contester. La production documentaire attendue est faite, et au-delà de ce qui était prévu. Mais elle est conduite comme un moyen au service d'un besoin plus large, ce qui explique des décisions que la seule commande ne justifierait pas : la consultation individuelle des formateurs, la relecture croisée, le développement d'un outil de collecte, et le temps consacré à l'appropriation plutôt qu'au seul volume produit.</w:t>
            </w:r>
          </w:p>
        </w:tc>
      </w:tr>
    </w:tbl>
    <w:p>
      <w:pPr>
        <w:spacing w:before="0" w:after="120"/>
      </w:pPr>
    </w:p>
    <w:sectPr w:rsidR="00FC693F" w:rsidRPr="0006063C" w:rsidSect="00034616">
      <w:headerReference w:type="default" r:id="rId9"/>
      <w:footerReference w:type="default" r:id="rId10"/>
      <w:pgSz w:w="11906" w:h="16838"/>
      <w:pgMar w:top="1361" w:right="1077" w:bottom="964" w:left="1077"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06060"/>
        <w:sz w:val="16"/>
      </w:rPr>
      <w:t xml:space="preserve">IMIE Paris   ·   </w:t>
    </w:r>
    <w:fldSimple w:instr="PAGE">
      <w:r>
        <w:rPr>
          <w:sz w:val="16"/>
        </w:rPr>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auto" w:w="0"/>
      <w:tblLook w:firstColumn="1" w:firstRow="1" w:lastColumn="0" w:lastRow="0" w:noHBand="0" w:noVBand="1" w:val="04A0"/>
      <w:tblBorders>
        <w:top w:val="none"/>
        <w:left w:val="none"/>
        <w:bottom w:val="none"/>
        <w:right w:val="none"/>
        <w:insideH w:val="none"/>
        <w:insideV w:val="none"/>
      </w:tblBorders>
    </w:tblPr>
    <w:tblGrid>
      <w:gridCol w:w="3402"/>
      <w:gridCol w:w="6350"/>
    </w:tblGrid>
    <w:tr>
      <w:tc>
        <w:tcPr>
          <w:tcW w:type="dxa" w:w="4876"/>
        </w:tcPr>
        <w:p>
          <w:pPr>
            <w:spacing w:after="0"/>
          </w:pPr>
          <w:r>
            <w:drawing>
              <wp:inline xmlns:a="http://schemas.openxmlformats.org/drawingml/2006/main" xmlns:pic="http://schemas.openxmlformats.org/drawingml/2006/picture">
                <wp:extent cx="342000" cy="342000"/>
                <wp:docPr id="1" name="Picture 1"/>
                <wp:cNvGraphicFramePr>
                  <a:graphicFrameLocks noChangeAspect="1"/>
                </wp:cNvGraphicFramePr>
                <a:graphic>
                  <a:graphicData uri="http://schemas.openxmlformats.org/drawingml/2006/picture">
                    <pic:pic>
                      <pic:nvPicPr>
                        <pic:cNvPr id="0" name="logo_imie_entete.png"/>
                        <pic:cNvPicPr/>
                      </pic:nvPicPr>
                      <pic:blipFill>
                        <a:blip r:embed="rId1"/>
                        <a:stretch>
                          <a:fillRect/>
                        </a:stretch>
                      </pic:blipFill>
                      <pic:spPr>
                        <a:xfrm>
                          <a:off x="0" y="0"/>
                          <a:ext cx="342000" cy="342000"/>
                        </a:xfrm>
                        <a:prstGeom prst="rect"/>
                      </pic:spPr>
                    </pic:pic>
                  </a:graphicData>
                </a:graphic>
              </wp:inline>
            </w:drawing>
          </w:r>
        </w:p>
      </w:tc>
      <w:tc>
        <w:tcPr>
          <w:tcW w:type="dxa" w:w="4876"/>
        </w:tcPr>
        <w:p>
          <w:pPr>
            <w:spacing w:after="0" w:before="20"/>
            <w:jc w:val="right"/>
          </w:pPr>
          <w:r/>
          <w:r>
            <w:rPr>
              <w:rFonts w:ascii="Arial" w:hAnsi="Arial"/>
              <w:b/>
              <w:color w:val="1F3864"/>
              <w:sz w:val="18"/>
            </w:rPr>
            <w:t>Expression des besoins · Structuration des parcours B1/B2 · B1B2-2026</w:t>
          </w:r>
        </w:p>
      </w:tc>
    </w:tr>
  </w:tbl>
  <w:p>
    <w:pPr>
      <w:spacing w:before="40" w:after="0"/>
      <w:pBdr>
        <w:bottom w:val="single" w:sz="6" w:color="1F3864"/>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