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none"/>
          <w:left w:val="none"/>
          <w:bottom w:val="none"/>
          <w:right w:val="none"/>
          <w:insideH w:val="none"/>
          <w:insideV w:val="none"/>
        </w:tblBorders>
      </w:tblPr>
      <w:tblGrid>
        <w:gridCol w:w="9752"/>
      </w:tblGrid>
      <w:tr>
        <w:tc>
          <w:tcPr>
            <w:tcW w:type="dxa" w:w="9752"/>
            <w:shd w:val="clear" w:fill="1F3864"/>
          </w:tcPr>
          <w:p>
            <w:pPr>
              <w:spacing w:after="0" w:before="20"/>
              <w:jc w:val="center"/>
            </w:pPr>
            <w:r/>
            <w:r>
              <w:rPr>
                <w:rFonts w:ascii="Arial" w:hAnsi="Arial"/>
                <w:b/>
                <w:color w:val="FFFFFF"/>
                <w:sz w:val="32"/>
              </w:rPr>
              <w:t>Dictionnaire du WBS</w:t>
            </w:r>
          </w:p>
          <w:p>
            <w:pPr>
              <w:spacing w:after="40"/>
              <w:jc w:val="center"/>
            </w:pPr>
            <w:r>
              <w:rPr>
                <w:rFonts w:ascii="Arial" w:hAnsi="Arial"/>
                <w:color w:val="D5DDEC"/>
                <w:sz w:val="20"/>
              </w:rPr>
              <w:t>Lots de travail, produits, charges et dates · Structuration des parcours B1/B2</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608"/>
        <w:gridCol w:w="7143"/>
      </w:tblGrid>
      <w:tr>
        <w:tc>
          <w:tcPr>
            <w:tcW w:type="dxa" w:w="2608"/>
            <w:shd w:val="clear" w:fill="EAEFF7"/>
          </w:tcPr>
          <w:p>
            <w:pPr>
              <w:spacing w:after="40" w:before="20"/>
            </w:pPr>
            <w:r/>
            <w:r>
              <w:rPr>
                <w:rFonts w:ascii="Arial" w:hAnsi="Arial"/>
                <w:b/>
                <w:color w:val="1F3864"/>
                <w:sz w:val="18"/>
              </w:rPr>
              <w:t>Nom / Code projet</w:t>
            </w:r>
          </w:p>
        </w:tc>
        <w:tc>
          <w:tcPr>
            <w:tcW w:type="dxa" w:w="7143"/>
          </w:tcPr>
          <w:p>
            <w:pPr>
              <w:spacing w:after="40" w:before="20"/>
            </w:pPr>
            <w:r/>
            <w:r>
              <w:rPr>
                <w:rFonts w:ascii="Arial" w:hAnsi="Arial"/>
                <w:b w:val="0"/>
                <w:sz w:val="18"/>
              </w:rPr>
              <w:t>Structuration des parcours B1/B2  ·  B1B2-2026</w:t>
            </w:r>
          </w:p>
        </w:tc>
      </w:tr>
      <w:tr>
        <w:tc>
          <w:tcPr>
            <w:tcW w:type="dxa" w:w="2608"/>
            <w:shd w:val="clear" w:fill="EAEFF7"/>
          </w:tcPr>
          <w:p>
            <w:pPr>
              <w:spacing w:after="40" w:before="20"/>
            </w:pPr>
            <w:r/>
            <w:r>
              <w:rPr>
                <w:rFonts w:ascii="Arial" w:hAnsi="Arial"/>
                <w:b/>
                <w:color w:val="1F3864"/>
                <w:sz w:val="18"/>
              </w:rPr>
              <w:t>Référence</w:t>
            </w:r>
          </w:p>
        </w:tc>
        <w:tc>
          <w:tcPr>
            <w:tcW w:type="dxa" w:w="7143"/>
          </w:tcPr>
          <w:p>
            <w:pPr>
              <w:spacing w:after="40" w:before="20"/>
            </w:pPr>
            <w:r/>
            <w:r>
              <w:rPr>
                <w:rFonts w:ascii="Arial" w:hAnsi="Arial"/>
                <w:b w:val="0"/>
                <w:sz w:val="18"/>
              </w:rPr>
              <w:t>WBS du projet · Fiche de poste : harmonisation et ingénierie des parcours B1/B2</w:t>
            </w:r>
          </w:p>
        </w:tc>
      </w:tr>
      <w:tr>
        <w:tc>
          <w:tcPr>
            <w:tcW w:type="dxa" w:w="2608"/>
            <w:shd w:val="clear" w:fill="EAEFF7"/>
          </w:tcPr>
          <w:p>
            <w:pPr>
              <w:spacing w:after="40" w:before="20"/>
            </w:pPr>
            <w:r/>
            <w:r>
              <w:rPr>
                <w:rFonts w:ascii="Arial" w:hAnsi="Arial"/>
                <w:b/>
                <w:color w:val="1F3864"/>
                <w:sz w:val="18"/>
              </w:rPr>
              <w:t>Rédacteur</w:t>
            </w:r>
          </w:p>
        </w:tc>
        <w:tc>
          <w:tcPr>
            <w:tcW w:type="dxa" w:w="7143"/>
          </w:tcPr>
          <w:p>
            <w:pPr>
              <w:spacing w:after="40" w:before="20"/>
            </w:pPr>
            <w:r/>
            <w:r>
              <w:rPr>
                <w:rFonts w:ascii="Arial" w:hAnsi="Arial"/>
                <w:b w:val="0"/>
                <w:sz w:val="18"/>
              </w:rPr>
              <w:t>Mohamed EL AFRIT, chargé de missions pédagogiques</w:t>
            </w:r>
          </w:p>
        </w:tc>
      </w:tr>
      <w:tr>
        <w:tc>
          <w:tcPr>
            <w:tcW w:type="dxa" w:w="2608"/>
            <w:shd w:val="clear" w:fill="EAEFF7"/>
          </w:tcPr>
          <w:p>
            <w:pPr>
              <w:spacing w:after="40" w:before="20"/>
            </w:pPr>
            <w:r/>
            <w:r>
              <w:rPr>
                <w:rFonts w:ascii="Arial" w:hAnsi="Arial"/>
                <w:b/>
                <w:color w:val="1F3864"/>
                <w:sz w:val="18"/>
              </w:rPr>
              <w:t>Charge totale</w:t>
            </w:r>
          </w:p>
        </w:tc>
        <w:tc>
          <w:tcPr>
            <w:tcW w:type="dxa" w:w="7143"/>
          </w:tcPr>
          <w:p>
            <w:pPr>
              <w:spacing w:after="40" w:before="20"/>
            </w:pPr>
            <w:r/>
            <w:r>
              <w:rPr>
                <w:rFonts w:ascii="Arial" w:hAnsi="Arial"/>
                <w:b w:val="0"/>
                <w:sz w:val="18"/>
              </w:rPr>
              <w:t>146 jours, toutes ressources confondues</w:t>
            </w:r>
          </w:p>
        </w:tc>
      </w:tr>
    </w:tbl>
    <w:p>
      <w:pPr>
        <w:spacing w:before="0" w:after="80"/>
      </w:pPr>
    </w:p>
    <w:p>
      <w:pPr>
        <w:spacing w:before="40" w:after="60"/>
      </w:pPr>
      <w:r>
        <w:rPr>
          <w:rFonts w:ascii="Arial" w:hAnsi="Arial"/>
          <w:b/>
          <w:i w:val="0"/>
          <w:color w:val="1F3864"/>
          <w:sz w:val="20"/>
        </w:rPr>
        <w:t>Historique du document</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438"/>
        <w:gridCol w:w="2438"/>
        <w:gridCol w:w="2438"/>
        <w:gridCol w:w="2438"/>
      </w:tblGrid>
      <w:tr>
        <w:tc>
          <w:tcPr>
            <w:tcW w:type="dxa" w:w="907"/>
            <w:shd w:val="clear" w:fill="1F3864"/>
          </w:tcPr>
          <w:p>
            <w:pPr>
              <w:spacing w:after="40" w:before="20"/>
            </w:pPr>
            <w:r/>
            <w:r>
              <w:rPr>
                <w:rFonts w:ascii="Arial" w:hAnsi="Arial"/>
                <w:b/>
                <w:color w:val="FFFFFF"/>
                <w:sz w:val="18"/>
              </w:rPr>
              <w:t>Version</w:t>
            </w:r>
          </w:p>
        </w:tc>
        <w:tc>
          <w:tcPr>
            <w:tcW w:type="dxa" w:w="2494"/>
            <w:shd w:val="clear" w:fill="1F3864"/>
          </w:tcPr>
          <w:p>
            <w:pPr>
              <w:spacing w:after="40" w:before="20"/>
            </w:pPr>
            <w:r/>
            <w:r>
              <w:rPr>
                <w:rFonts w:ascii="Arial" w:hAnsi="Arial"/>
                <w:b/>
                <w:color w:val="FFFFFF"/>
                <w:sz w:val="18"/>
              </w:rPr>
              <w:t>Auteur</w:t>
            </w:r>
          </w:p>
        </w:tc>
        <w:tc>
          <w:tcPr>
            <w:tcW w:type="dxa" w:w="4649"/>
            <w:shd w:val="clear" w:fill="1F3864"/>
          </w:tcPr>
          <w:p>
            <w:pPr>
              <w:spacing w:after="40" w:before="20"/>
            </w:pPr>
            <w:r/>
            <w:r>
              <w:rPr>
                <w:rFonts w:ascii="Arial" w:hAnsi="Arial"/>
                <w:b/>
                <w:color w:val="FFFFFF"/>
                <w:sz w:val="18"/>
              </w:rPr>
              <w:t>Description</w:t>
            </w:r>
          </w:p>
        </w:tc>
        <w:tc>
          <w:tcPr>
            <w:tcW w:type="dxa" w:w="1701"/>
            <w:shd w:val="clear" w:fill="1F3864"/>
          </w:tcPr>
          <w:p>
            <w:pPr>
              <w:spacing w:after="40" w:before="20"/>
            </w:pPr>
            <w:r/>
            <w:r>
              <w:rPr>
                <w:rFonts w:ascii="Arial" w:hAnsi="Arial"/>
                <w:b/>
                <w:color w:val="FFFFFF"/>
                <w:sz w:val="18"/>
              </w:rPr>
              <w:t>Date</w:t>
            </w:r>
          </w:p>
        </w:tc>
      </w:tr>
      <w:tr>
        <w:tc>
          <w:tcPr>
            <w:tcW w:type="dxa" w:w="907"/>
          </w:tcPr>
          <w:p>
            <w:pPr>
              <w:spacing w:after="40" w:before="20"/>
            </w:pPr>
            <w:r/>
            <w:r>
              <w:rPr>
                <w:rFonts w:ascii="Arial" w:hAnsi="Arial"/>
                <w:b w:val="0"/>
                <w:sz w:val="18"/>
              </w:rPr>
              <w:t>V1.0</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Première version, avec le découpage initial</w:t>
            </w:r>
          </w:p>
        </w:tc>
        <w:tc>
          <w:tcPr>
            <w:tcW w:type="dxa" w:w="1701"/>
          </w:tcPr>
          <w:p>
            <w:pPr>
              <w:spacing w:after="40" w:before="20"/>
            </w:pPr>
            <w:r/>
            <w:r>
              <w:rPr>
                <w:rFonts w:ascii="Arial" w:hAnsi="Arial"/>
                <w:b w:val="0"/>
                <w:sz w:val="18"/>
              </w:rPr>
              <w:t>05/01/2026</w:t>
            </w:r>
          </w:p>
        </w:tc>
      </w:tr>
      <w:tr>
        <w:tc>
          <w:tcPr>
            <w:tcW w:type="dxa" w:w="907"/>
          </w:tcPr>
          <w:p>
            <w:pPr>
              <w:spacing w:after="40" w:before="20"/>
            </w:pPr>
            <w:r/>
            <w:r>
              <w:rPr>
                <w:rFonts w:ascii="Arial" w:hAnsi="Arial"/>
                <w:b w:val="0"/>
                <w:sz w:val="18"/>
              </w:rPr>
              <w:t>V1.1</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Produits attendus précisés par lot</w:t>
            </w:r>
          </w:p>
        </w:tc>
        <w:tc>
          <w:tcPr>
            <w:tcW w:type="dxa" w:w="1701"/>
          </w:tcPr>
          <w:p>
            <w:pPr>
              <w:spacing w:after="40" w:before="20"/>
            </w:pPr>
            <w:r/>
            <w:r>
              <w:rPr>
                <w:rFonts w:ascii="Arial" w:hAnsi="Arial"/>
                <w:b w:val="0"/>
                <w:sz w:val="18"/>
              </w:rPr>
              <w:t>17/03/2026</w:t>
            </w:r>
          </w:p>
        </w:tc>
      </w:tr>
      <w:tr>
        <w:tc>
          <w:tcPr>
            <w:tcW w:type="dxa" w:w="907"/>
          </w:tcPr>
          <w:p>
            <w:pPr>
              <w:spacing w:after="40" w:before="20"/>
            </w:pPr>
            <w:r/>
            <w:r>
              <w:rPr>
                <w:rFonts w:ascii="Arial" w:hAnsi="Arial"/>
                <w:b w:val="0"/>
                <w:sz w:val="18"/>
              </w:rPr>
              <w:t>V2.0</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Ajout du lot FormaPlanner et révision des charges</w:t>
            </w:r>
          </w:p>
        </w:tc>
        <w:tc>
          <w:tcPr>
            <w:tcW w:type="dxa" w:w="1701"/>
          </w:tcPr>
          <w:p>
            <w:pPr>
              <w:spacing w:after="40" w:before="20"/>
            </w:pPr>
            <w:r/>
            <w:r>
              <w:rPr>
                <w:rFonts w:ascii="Arial" w:hAnsi="Arial"/>
                <w:b w:val="0"/>
                <w:sz w:val="18"/>
              </w:rPr>
              <w:t>30/06/2026</w:t>
            </w:r>
          </w:p>
        </w:tc>
      </w:tr>
      <w:tr>
        <w:tc>
          <w:tcPr>
            <w:tcW w:type="dxa" w:w="907"/>
          </w:tcPr>
          <w:p>
            <w:pPr>
              <w:spacing w:after="40" w:before="20"/>
            </w:pPr>
            <w:r/>
            <w:r>
              <w:rPr>
                <w:rFonts w:ascii="Arial" w:hAnsi="Arial"/>
                <w:b w:val="0"/>
                <w:sz w:val="18"/>
              </w:rPr>
              <w:t>V2.1</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Charges réalisées et répartition par acteur</w:t>
            </w:r>
          </w:p>
        </w:tc>
        <w:tc>
          <w:tcPr>
            <w:tcW w:type="dxa" w:w="1701"/>
          </w:tcPr>
          <w:p>
            <w:pPr>
              <w:spacing w:after="40" w:before="20"/>
            </w:pPr>
            <w:r/>
            <w:r>
              <w:rPr>
                <w:rFonts w:ascii="Arial" w:hAnsi="Arial"/>
                <w:b w:val="0"/>
                <w:sz w:val="18"/>
              </w:rPr>
              <w:t>14/08/2026</w:t>
            </w:r>
          </w:p>
        </w:tc>
      </w:tr>
    </w:tbl>
    <w:p>
      <w:pPr>
        <w:spacing w:before="0" w:after="120"/>
      </w:pPr>
    </w:p>
    <w:p>
      <w:pPr>
        <w:spacing w:before="0" w:after="120"/>
      </w:pPr>
      <w:r>
        <w:rPr>
          <w:rFonts w:ascii="Arial" w:hAnsi="Arial"/>
          <w:b w:val="0"/>
          <w:i/>
          <w:color w:val="606060"/>
          <w:sz w:val="18"/>
        </w:rPr>
        <w:t>La colonne « Pilote » désigne l'acteur qui répond du lot, pas son unique contributeur : la charge indiquée couvre l'ensemble des personnes qui y ont travaillé. La répartition par acteur figure en fin de document.</w:t>
      </w:r>
    </w:p>
    <w:p>
      <w:pPr>
        <w:spacing w:before="40" w:after="60"/>
      </w:pPr>
      <w:r>
        <w:rPr>
          <w:rFonts w:ascii="Arial" w:hAnsi="Arial"/>
          <w:b/>
          <w:i w:val="0"/>
          <w:color w:val="1F3864"/>
          <w:sz w:val="20"/>
        </w:rPr>
        <w:t>Lot 1 · Initialisation et cadrage        18 jours        14 nov. 2025 à 27 févr. 2026</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1393"/>
        <w:gridCol w:w="1393"/>
        <w:gridCol w:w="1393"/>
        <w:gridCol w:w="1393"/>
        <w:gridCol w:w="1393"/>
        <w:gridCol w:w="1393"/>
        <w:gridCol w:w="1393"/>
      </w:tblGrid>
      <w:tr>
        <w:trPr>
          <w:tblHeader w:val="true"/>
        </w:trPr>
        <w:tc>
          <w:tcPr>
            <w:tcW w:type="dxa" w:w="567"/>
            <w:shd w:val="clear" w:fill="1F3864"/>
          </w:tcPr>
          <w:p>
            <w:pPr>
              <w:spacing w:after="20" w:before="20"/>
            </w:pPr>
            <w:r/>
            <w:r>
              <w:rPr>
                <w:rFonts w:ascii="Arial" w:hAnsi="Arial"/>
                <w:b/>
                <w:color w:val="FFFFFF"/>
                <w:sz w:val="15"/>
              </w:rPr>
              <w:t>ID</w:t>
            </w:r>
          </w:p>
        </w:tc>
        <w:tc>
          <w:tcPr>
            <w:tcW w:type="dxa" w:w="1984"/>
            <w:shd w:val="clear" w:fill="1F3864"/>
          </w:tcPr>
          <w:p>
            <w:pPr>
              <w:spacing w:after="20" w:before="20"/>
            </w:pPr>
            <w:r/>
            <w:r>
              <w:rPr>
                <w:rFonts w:ascii="Arial" w:hAnsi="Arial"/>
                <w:b/>
                <w:color w:val="FFFFFF"/>
                <w:sz w:val="15"/>
              </w:rPr>
              <w:t>Lot de travail</w:t>
            </w:r>
          </w:p>
        </w:tc>
        <w:tc>
          <w:tcPr>
            <w:tcW w:type="dxa" w:w="2608"/>
            <w:shd w:val="clear" w:fill="1F3864"/>
          </w:tcPr>
          <w:p>
            <w:pPr>
              <w:spacing w:after="20" w:before="20"/>
            </w:pPr>
            <w:r/>
            <w:r>
              <w:rPr>
                <w:rFonts w:ascii="Arial" w:hAnsi="Arial"/>
                <w:b/>
                <w:color w:val="FFFFFF"/>
                <w:sz w:val="15"/>
              </w:rPr>
              <w:t>Produit ou résultat attendu</w:t>
            </w:r>
          </w:p>
        </w:tc>
        <w:tc>
          <w:tcPr>
            <w:tcW w:type="dxa" w:w="1417"/>
            <w:shd w:val="clear" w:fill="1F3864"/>
          </w:tcPr>
          <w:p>
            <w:pPr>
              <w:spacing w:after="20" w:before="20"/>
            </w:pPr>
            <w:r/>
            <w:r>
              <w:rPr>
                <w:rFonts w:ascii="Arial" w:hAnsi="Arial"/>
                <w:b/>
                <w:color w:val="FFFFFF"/>
                <w:sz w:val="15"/>
              </w:rPr>
              <w:t>Pilote</w:t>
            </w:r>
          </w:p>
        </w:tc>
        <w:tc>
          <w:tcPr>
            <w:tcW w:type="dxa" w:w="624"/>
            <w:shd w:val="clear" w:fill="1F3864"/>
          </w:tcPr>
          <w:p>
            <w:pPr>
              <w:spacing w:after="20" w:before="20"/>
            </w:pPr>
            <w:r/>
            <w:r>
              <w:rPr>
                <w:rFonts w:ascii="Arial" w:hAnsi="Arial"/>
                <w:b/>
                <w:color w:val="FFFFFF"/>
                <w:sz w:val="15"/>
              </w:rPr>
              <w:t>Charge</w:t>
            </w:r>
          </w:p>
        </w:tc>
        <w:tc>
          <w:tcPr>
            <w:tcW w:type="dxa" w:w="1474"/>
            <w:shd w:val="clear" w:fill="1F3864"/>
          </w:tcPr>
          <w:p>
            <w:pPr>
              <w:spacing w:after="20" w:before="20"/>
            </w:pPr>
            <w:r/>
            <w:r>
              <w:rPr>
                <w:rFonts w:ascii="Arial" w:hAnsi="Arial"/>
                <w:b/>
                <w:color w:val="FFFFFF"/>
                <w:sz w:val="15"/>
              </w:rPr>
              <w:t>Période</w:t>
            </w:r>
          </w:p>
        </w:tc>
        <w:tc>
          <w:tcPr>
            <w:tcW w:type="dxa" w:w="1077"/>
            <w:shd w:val="clear" w:fill="1F3864"/>
          </w:tcPr>
          <w:p>
            <w:pPr>
              <w:spacing w:after="20" w:before="20"/>
            </w:pPr>
            <w:r/>
            <w:r>
              <w:rPr>
                <w:rFonts w:ascii="Arial" w:hAnsi="Arial"/>
                <w:b/>
                <w:color w:val="FFFFFF"/>
                <w:sz w:val="15"/>
              </w:rPr>
              <w:t>Dépend de</w:t>
            </w:r>
          </w:p>
        </w:tc>
      </w:tr>
      <w:tr>
        <w:tc>
          <w:tcPr>
            <w:tcW w:type="dxa" w:w="567"/>
          </w:tcPr>
          <w:p>
            <w:pPr>
              <w:spacing w:after="20" w:before="20"/>
            </w:pPr>
            <w:r/>
            <w:r>
              <w:rPr>
                <w:rFonts w:ascii="Arial" w:hAnsi="Arial"/>
                <w:b w:val="0"/>
                <w:sz w:val="15"/>
              </w:rPr>
              <w:t>1.1</w:t>
            </w:r>
          </w:p>
        </w:tc>
        <w:tc>
          <w:tcPr>
            <w:tcW w:type="dxa" w:w="1984"/>
          </w:tcPr>
          <w:p>
            <w:pPr>
              <w:spacing w:after="20" w:before="20"/>
            </w:pPr>
            <w:r/>
            <w:r>
              <w:rPr>
                <w:rFonts w:ascii="Arial" w:hAnsi="Arial"/>
                <w:b w:val="0"/>
                <w:sz w:val="15"/>
              </w:rPr>
              <w:t>Étude d'opportunité et décision de lancement</w:t>
            </w:r>
          </w:p>
        </w:tc>
        <w:tc>
          <w:tcPr>
            <w:tcW w:type="dxa" w:w="2608"/>
          </w:tcPr>
          <w:p>
            <w:pPr>
              <w:spacing w:after="20" w:before="20"/>
            </w:pPr>
            <w:r/>
            <w:r>
              <w:rPr>
                <w:rFonts w:ascii="Arial" w:hAnsi="Arial"/>
                <w:b w:val="0"/>
                <w:sz w:val="15"/>
              </w:rPr>
              <w:t>Étude d'opportunité, décision de la direction</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4 j</w:t>
            </w:r>
          </w:p>
        </w:tc>
        <w:tc>
          <w:tcPr>
            <w:tcW w:type="dxa" w:w="1474"/>
          </w:tcPr>
          <w:p>
            <w:pPr>
              <w:spacing w:after="20" w:before="20"/>
            </w:pPr>
            <w:r/>
            <w:r>
              <w:rPr>
                <w:rFonts w:ascii="Arial" w:hAnsi="Arial"/>
                <w:b w:val="0"/>
                <w:sz w:val="15"/>
              </w:rPr>
              <w:t>14 nov. 2025</w:t>
            </w:r>
          </w:p>
          <w:p>
            <w:pPr>
              <w:spacing w:after="20"/>
            </w:pPr>
            <w:r>
              <w:rPr>
                <w:rFonts w:ascii="Arial" w:hAnsi="Arial"/>
                <w:b w:val="0"/>
                <w:sz w:val="15"/>
              </w:rPr>
              <w:t>à 8 déc. 2025</w:t>
            </w:r>
          </w:p>
        </w:tc>
        <w:tc>
          <w:tcPr>
            <w:tcW w:type="dxa" w:w="1077"/>
          </w:tcPr>
          <w:p>
            <w:pPr>
              <w:spacing w:after="20" w:before="20"/>
            </w:pPr>
            <w:r/>
            <w:r>
              <w:rPr>
                <w:rFonts w:ascii="Arial" w:hAnsi="Arial"/>
                <w:b w:val="0"/>
                <w:sz w:val="15"/>
              </w:rPr>
              <w:t>aucune</w:t>
            </w:r>
          </w:p>
        </w:tc>
      </w:tr>
      <w:tr>
        <w:tc>
          <w:tcPr>
            <w:tcW w:type="dxa" w:w="567"/>
          </w:tcPr>
          <w:p>
            <w:pPr>
              <w:spacing w:after="20" w:before="20"/>
            </w:pPr>
            <w:r/>
            <w:r>
              <w:rPr>
                <w:rFonts w:ascii="Arial" w:hAnsi="Arial"/>
                <w:b w:val="0"/>
                <w:sz w:val="15"/>
              </w:rPr>
              <w:t>1.2</w:t>
            </w:r>
          </w:p>
        </w:tc>
        <w:tc>
          <w:tcPr>
            <w:tcW w:type="dxa" w:w="1984"/>
          </w:tcPr>
          <w:p>
            <w:pPr>
              <w:spacing w:after="20" w:before="20"/>
            </w:pPr>
            <w:r/>
            <w:r>
              <w:rPr>
                <w:rFonts w:ascii="Arial" w:hAnsi="Arial"/>
                <w:b w:val="0"/>
                <w:sz w:val="15"/>
              </w:rPr>
              <w:t>Cadrage de la mission et priorisation</w:t>
            </w:r>
          </w:p>
        </w:tc>
        <w:tc>
          <w:tcPr>
            <w:tcW w:type="dxa" w:w="2608"/>
          </w:tcPr>
          <w:p>
            <w:pPr>
              <w:spacing w:after="20" w:before="20"/>
            </w:pPr>
            <w:r/>
            <w:r>
              <w:rPr>
                <w:rFonts w:ascii="Arial" w:hAnsi="Arial"/>
                <w:b w:val="0"/>
                <w:sz w:val="15"/>
              </w:rPr>
              <w:t>Périmètre arrêté, priorisation séquentielle B1 d'abord</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3 j</w:t>
            </w:r>
          </w:p>
        </w:tc>
        <w:tc>
          <w:tcPr>
            <w:tcW w:type="dxa" w:w="1474"/>
          </w:tcPr>
          <w:p>
            <w:pPr>
              <w:spacing w:after="20" w:before="20"/>
            </w:pPr>
            <w:r/>
            <w:r>
              <w:rPr>
                <w:rFonts w:ascii="Arial" w:hAnsi="Arial"/>
                <w:b w:val="0"/>
                <w:sz w:val="15"/>
              </w:rPr>
              <w:t>15 déc. 2025</w:t>
            </w:r>
          </w:p>
          <w:p>
            <w:pPr>
              <w:spacing w:after="20"/>
            </w:pPr>
            <w:r>
              <w:rPr>
                <w:rFonts w:ascii="Arial" w:hAnsi="Arial"/>
                <w:b w:val="0"/>
                <w:sz w:val="15"/>
              </w:rPr>
              <w:t>à 31 déc. 2025</w:t>
            </w:r>
          </w:p>
        </w:tc>
        <w:tc>
          <w:tcPr>
            <w:tcW w:type="dxa" w:w="1077"/>
          </w:tcPr>
          <w:p>
            <w:pPr>
              <w:spacing w:after="20" w:before="20"/>
            </w:pPr>
            <w:r/>
            <w:r>
              <w:rPr>
                <w:rFonts w:ascii="Arial" w:hAnsi="Arial"/>
                <w:b w:val="0"/>
                <w:sz w:val="15"/>
              </w:rPr>
              <w:t>1.1</w:t>
            </w:r>
          </w:p>
        </w:tc>
      </w:tr>
      <w:tr>
        <w:tc>
          <w:tcPr>
            <w:tcW w:type="dxa" w:w="567"/>
          </w:tcPr>
          <w:p>
            <w:pPr>
              <w:spacing w:after="20" w:before="20"/>
            </w:pPr>
            <w:r/>
            <w:r>
              <w:rPr>
                <w:rFonts w:ascii="Arial" w:hAnsi="Arial"/>
                <w:b w:val="0"/>
                <w:sz w:val="15"/>
              </w:rPr>
              <w:t>1.3</w:t>
            </w:r>
          </w:p>
        </w:tc>
        <w:tc>
          <w:tcPr>
            <w:tcW w:type="dxa" w:w="1984"/>
          </w:tcPr>
          <w:p>
            <w:pPr>
              <w:spacing w:after="20" w:before="20"/>
            </w:pPr>
            <w:r/>
            <w:r>
              <w:rPr>
                <w:rFonts w:ascii="Arial" w:hAnsi="Arial"/>
                <w:b w:val="0"/>
                <w:sz w:val="15"/>
              </w:rPr>
              <w:t>Plannings des quatre titres</w:t>
            </w:r>
          </w:p>
        </w:tc>
        <w:tc>
          <w:tcPr>
            <w:tcW w:type="dxa" w:w="2608"/>
          </w:tcPr>
          <w:p>
            <w:pPr>
              <w:spacing w:after="20" w:before="20"/>
            </w:pPr>
            <w:r/>
            <w:r>
              <w:rPr>
                <w:rFonts w:ascii="Arial" w:hAnsi="Arial"/>
                <w:b w:val="0"/>
                <w:sz w:val="15"/>
              </w:rPr>
              <w:t>Plannings consolidés et conformes</w:t>
            </w:r>
          </w:p>
        </w:tc>
        <w:tc>
          <w:tcPr>
            <w:tcW w:type="dxa" w:w="1417"/>
          </w:tcPr>
          <w:p>
            <w:pPr>
              <w:spacing w:after="20" w:before="20"/>
            </w:pPr>
            <w:r/>
            <w:r>
              <w:rPr>
                <w:rFonts w:ascii="Arial" w:hAnsi="Arial"/>
                <w:b w:val="0"/>
                <w:sz w:val="15"/>
              </w:rPr>
              <w:t>Responsable pédagogique</w:t>
            </w:r>
          </w:p>
        </w:tc>
        <w:tc>
          <w:tcPr>
            <w:tcW w:type="dxa" w:w="624"/>
          </w:tcPr>
          <w:p>
            <w:pPr>
              <w:spacing w:after="20" w:before="20"/>
            </w:pPr>
            <w:r/>
            <w:r>
              <w:rPr>
                <w:rFonts w:ascii="Arial" w:hAnsi="Arial"/>
                <w:b w:val="0"/>
                <w:sz w:val="15"/>
              </w:rPr>
              <w:t>6 j</w:t>
            </w:r>
          </w:p>
        </w:tc>
        <w:tc>
          <w:tcPr>
            <w:tcW w:type="dxa" w:w="1474"/>
          </w:tcPr>
          <w:p>
            <w:pPr>
              <w:spacing w:after="20" w:before="20"/>
            </w:pPr>
            <w:r/>
            <w:r>
              <w:rPr>
                <w:rFonts w:ascii="Arial" w:hAnsi="Arial"/>
                <w:b w:val="0"/>
                <w:sz w:val="15"/>
              </w:rPr>
              <w:t>5 janv. 2026</w:t>
            </w:r>
          </w:p>
          <w:p>
            <w:pPr>
              <w:spacing w:after="20"/>
            </w:pPr>
            <w:r>
              <w:rPr>
                <w:rFonts w:ascii="Arial" w:hAnsi="Arial"/>
                <w:b w:val="0"/>
                <w:sz w:val="15"/>
              </w:rPr>
              <w:t>à 13 févr. 2026</w:t>
            </w:r>
          </w:p>
        </w:tc>
        <w:tc>
          <w:tcPr>
            <w:tcW w:type="dxa" w:w="1077"/>
          </w:tcPr>
          <w:p>
            <w:pPr>
              <w:spacing w:after="20" w:before="20"/>
            </w:pPr>
            <w:r/>
            <w:r>
              <w:rPr>
                <w:rFonts w:ascii="Arial" w:hAnsi="Arial"/>
                <w:b w:val="0"/>
                <w:sz w:val="15"/>
              </w:rPr>
              <w:t>1.2</w:t>
            </w:r>
          </w:p>
        </w:tc>
      </w:tr>
      <w:tr>
        <w:tc>
          <w:tcPr>
            <w:tcW w:type="dxa" w:w="567"/>
          </w:tcPr>
          <w:p>
            <w:pPr>
              <w:spacing w:after="20" w:before="20"/>
            </w:pPr>
            <w:r/>
            <w:r>
              <w:rPr>
                <w:rFonts w:ascii="Arial" w:hAnsi="Arial"/>
                <w:b w:val="0"/>
                <w:sz w:val="15"/>
              </w:rPr>
              <w:t>1.4</w:t>
            </w:r>
          </w:p>
        </w:tc>
        <w:tc>
          <w:tcPr>
            <w:tcW w:type="dxa" w:w="1984"/>
          </w:tcPr>
          <w:p>
            <w:pPr>
              <w:spacing w:after="20" w:before="20"/>
            </w:pPr>
            <w:r/>
            <w:r>
              <w:rPr>
                <w:rFonts w:ascii="Arial" w:hAnsi="Arial"/>
                <w:b w:val="0"/>
                <w:sz w:val="15"/>
              </w:rPr>
              <w:t>Harmonisation des évaluations certificatives</w:t>
            </w:r>
          </w:p>
        </w:tc>
        <w:tc>
          <w:tcPr>
            <w:tcW w:type="dxa" w:w="2608"/>
          </w:tcPr>
          <w:p>
            <w:pPr>
              <w:spacing w:after="20" w:before="20"/>
            </w:pPr>
            <w:r/>
            <w:r>
              <w:rPr>
                <w:rFonts w:ascii="Arial" w:hAnsi="Arial"/>
                <w:b w:val="0"/>
                <w:sz w:val="15"/>
              </w:rPr>
              <w:t>Cadre d'évaluation harmonisé des quatre titres</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5 j</w:t>
            </w:r>
          </w:p>
        </w:tc>
        <w:tc>
          <w:tcPr>
            <w:tcW w:type="dxa" w:w="1474"/>
          </w:tcPr>
          <w:p>
            <w:pPr>
              <w:spacing w:after="20" w:before="20"/>
            </w:pPr>
            <w:r/>
            <w:r>
              <w:rPr>
                <w:rFonts w:ascii="Arial" w:hAnsi="Arial"/>
                <w:b w:val="0"/>
                <w:sz w:val="15"/>
              </w:rPr>
              <w:t>26 janv. 2026</w:t>
            </w:r>
          </w:p>
          <w:p>
            <w:pPr>
              <w:spacing w:after="20"/>
            </w:pPr>
            <w:r>
              <w:rPr>
                <w:rFonts w:ascii="Arial" w:hAnsi="Arial"/>
                <w:b w:val="0"/>
                <w:sz w:val="15"/>
              </w:rPr>
              <w:t>à 27 févr. 2026</w:t>
            </w:r>
          </w:p>
        </w:tc>
        <w:tc>
          <w:tcPr>
            <w:tcW w:type="dxa" w:w="1077"/>
          </w:tcPr>
          <w:p>
            <w:pPr>
              <w:spacing w:after="20" w:before="20"/>
            </w:pPr>
            <w:r/>
            <w:r>
              <w:rPr>
                <w:rFonts w:ascii="Arial" w:hAnsi="Arial"/>
                <w:b w:val="0"/>
                <w:sz w:val="15"/>
              </w:rPr>
              <w:t>1.2</w:t>
            </w:r>
          </w:p>
        </w:tc>
      </w:tr>
    </w:tbl>
    <w:p>
      <w:pPr>
        <w:spacing w:before="0" w:after="120"/>
      </w:pPr>
    </w:p>
    <w:p>
      <w:pPr>
        <w:spacing w:before="40" w:after="60"/>
      </w:pPr>
      <w:r>
        <w:rPr>
          <w:rFonts w:ascii="Arial" w:hAnsi="Arial"/>
          <w:b/>
          <w:i w:val="0"/>
          <w:color w:val="1F3864"/>
          <w:sz w:val="20"/>
        </w:rPr>
        <w:t>Lot 2 · Diagnostic et conception pédagogique        38 jours        2 mars 2026 à 19 juin 2026</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1393"/>
        <w:gridCol w:w="1393"/>
        <w:gridCol w:w="1393"/>
        <w:gridCol w:w="1393"/>
        <w:gridCol w:w="1393"/>
        <w:gridCol w:w="1393"/>
        <w:gridCol w:w="1393"/>
      </w:tblGrid>
      <w:tr>
        <w:trPr>
          <w:tblHeader w:val="true"/>
        </w:trPr>
        <w:tc>
          <w:tcPr>
            <w:tcW w:type="dxa" w:w="567"/>
            <w:shd w:val="clear" w:fill="1F3864"/>
          </w:tcPr>
          <w:p>
            <w:pPr>
              <w:spacing w:after="20" w:before="20"/>
            </w:pPr>
            <w:r/>
            <w:r>
              <w:rPr>
                <w:rFonts w:ascii="Arial" w:hAnsi="Arial"/>
                <w:b/>
                <w:color w:val="FFFFFF"/>
                <w:sz w:val="15"/>
              </w:rPr>
              <w:t>ID</w:t>
            </w:r>
          </w:p>
        </w:tc>
        <w:tc>
          <w:tcPr>
            <w:tcW w:type="dxa" w:w="1984"/>
            <w:shd w:val="clear" w:fill="1F3864"/>
          </w:tcPr>
          <w:p>
            <w:pPr>
              <w:spacing w:after="20" w:before="20"/>
            </w:pPr>
            <w:r/>
            <w:r>
              <w:rPr>
                <w:rFonts w:ascii="Arial" w:hAnsi="Arial"/>
                <w:b/>
                <w:color w:val="FFFFFF"/>
                <w:sz w:val="15"/>
              </w:rPr>
              <w:t>Lot de travail</w:t>
            </w:r>
          </w:p>
        </w:tc>
        <w:tc>
          <w:tcPr>
            <w:tcW w:type="dxa" w:w="2608"/>
            <w:shd w:val="clear" w:fill="1F3864"/>
          </w:tcPr>
          <w:p>
            <w:pPr>
              <w:spacing w:after="20" w:before="20"/>
            </w:pPr>
            <w:r/>
            <w:r>
              <w:rPr>
                <w:rFonts w:ascii="Arial" w:hAnsi="Arial"/>
                <w:b/>
                <w:color w:val="FFFFFF"/>
                <w:sz w:val="15"/>
              </w:rPr>
              <w:t>Produit ou résultat attendu</w:t>
            </w:r>
          </w:p>
        </w:tc>
        <w:tc>
          <w:tcPr>
            <w:tcW w:type="dxa" w:w="1417"/>
            <w:shd w:val="clear" w:fill="1F3864"/>
          </w:tcPr>
          <w:p>
            <w:pPr>
              <w:spacing w:after="20" w:before="20"/>
            </w:pPr>
            <w:r/>
            <w:r>
              <w:rPr>
                <w:rFonts w:ascii="Arial" w:hAnsi="Arial"/>
                <w:b/>
                <w:color w:val="FFFFFF"/>
                <w:sz w:val="15"/>
              </w:rPr>
              <w:t>Pilote</w:t>
            </w:r>
          </w:p>
        </w:tc>
        <w:tc>
          <w:tcPr>
            <w:tcW w:type="dxa" w:w="624"/>
            <w:shd w:val="clear" w:fill="1F3864"/>
          </w:tcPr>
          <w:p>
            <w:pPr>
              <w:spacing w:after="20" w:before="20"/>
            </w:pPr>
            <w:r/>
            <w:r>
              <w:rPr>
                <w:rFonts w:ascii="Arial" w:hAnsi="Arial"/>
                <w:b/>
                <w:color w:val="FFFFFF"/>
                <w:sz w:val="15"/>
              </w:rPr>
              <w:t>Charge</w:t>
            </w:r>
          </w:p>
        </w:tc>
        <w:tc>
          <w:tcPr>
            <w:tcW w:type="dxa" w:w="1474"/>
            <w:shd w:val="clear" w:fill="1F3864"/>
          </w:tcPr>
          <w:p>
            <w:pPr>
              <w:spacing w:after="20" w:before="20"/>
            </w:pPr>
            <w:r/>
            <w:r>
              <w:rPr>
                <w:rFonts w:ascii="Arial" w:hAnsi="Arial"/>
                <w:b/>
                <w:color w:val="FFFFFF"/>
                <w:sz w:val="15"/>
              </w:rPr>
              <w:t>Période</w:t>
            </w:r>
          </w:p>
        </w:tc>
        <w:tc>
          <w:tcPr>
            <w:tcW w:type="dxa" w:w="1077"/>
            <w:shd w:val="clear" w:fill="1F3864"/>
          </w:tcPr>
          <w:p>
            <w:pPr>
              <w:spacing w:after="20" w:before="20"/>
            </w:pPr>
            <w:r/>
            <w:r>
              <w:rPr>
                <w:rFonts w:ascii="Arial" w:hAnsi="Arial"/>
                <w:b/>
                <w:color w:val="FFFFFF"/>
                <w:sz w:val="15"/>
              </w:rPr>
              <w:t>Dépend de</w:t>
            </w:r>
          </w:p>
        </w:tc>
      </w:tr>
      <w:tr>
        <w:tc>
          <w:tcPr>
            <w:tcW w:type="dxa" w:w="567"/>
          </w:tcPr>
          <w:p>
            <w:pPr>
              <w:spacing w:after="20" w:before="20"/>
            </w:pPr>
            <w:r/>
            <w:r>
              <w:rPr>
                <w:rFonts w:ascii="Arial" w:hAnsi="Arial"/>
                <w:b w:val="0"/>
                <w:sz w:val="15"/>
              </w:rPr>
              <w:t>2.1</w:t>
            </w:r>
          </w:p>
        </w:tc>
        <w:tc>
          <w:tcPr>
            <w:tcW w:type="dxa" w:w="1984"/>
          </w:tcPr>
          <w:p>
            <w:pPr>
              <w:spacing w:after="20" w:before="20"/>
            </w:pPr>
            <w:r/>
            <w:r>
              <w:rPr>
                <w:rFonts w:ascii="Arial" w:hAnsi="Arial"/>
                <w:b w:val="0"/>
                <w:sz w:val="15"/>
              </w:rPr>
              <w:t>Extraction des données Yparéo</w:t>
            </w:r>
          </w:p>
        </w:tc>
        <w:tc>
          <w:tcPr>
            <w:tcW w:type="dxa" w:w="2608"/>
          </w:tcPr>
          <w:p>
            <w:pPr>
              <w:spacing w:after="20" w:before="20"/>
            </w:pPr>
            <w:r/>
            <w:r>
              <w:rPr>
                <w:rFonts w:ascii="Arial" w:hAnsi="Arial"/>
                <w:b w:val="0"/>
                <w:sz w:val="15"/>
              </w:rPr>
              <w:t>Cahiers de texte et historiques exploitables</w:t>
            </w:r>
          </w:p>
        </w:tc>
        <w:tc>
          <w:tcPr>
            <w:tcW w:type="dxa" w:w="1417"/>
          </w:tcPr>
          <w:p>
            <w:pPr>
              <w:spacing w:after="20" w:before="20"/>
            </w:pPr>
            <w:r/>
            <w:r>
              <w:rPr>
                <w:rFonts w:ascii="Arial" w:hAnsi="Arial"/>
                <w:b w:val="0"/>
                <w:sz w:val="15"/>
              </w:rPr>
              <w:t>Technicien informatique</w:t>
            </w:r>
          </w:p>
        </w:tc>
        <w:tc>
          <w:tcPr>
            <w:tcW w:type="dxa" w:w="624"/>
          </w:tcPr>
          <w:p>
            <w:pPr>
              <w:spacing w:after="20" w:before="20"/>
            </w:pPr>
            <w:r/>
            <w:r>
              <w:rPr>
                <w:rFonts w:ascii="Arial" w:hAnsi="Arial"/>
                <w:b w:val="0"/>
                <w:sz w:val="15"/>
              </w:rPr>
              <w:t>2 j</w:t>
            </w:r>
          </w:p>
        </w:tc>
        <w:tc>
          <w:tcPr>
            <w:tcW w:type="dxa" w:w="1474"/>
          </w:tcPr>
          <w:p>
            <w:pPr>
              <w:spacing w:after="20" w:before="20"/>
            </w:pPr>
            <w:r/>
            <w:r>
              <w:rPr>
                <w:rFonts w:ascii="Arial" w:hAnsi="Arial"/>
                <w:b w:val="0"/>
                <w:sz w:val="15"/>
              </w:rPr>
              <w:t>2 mars 2026</w:t>
            </w:r>
          </w:p>
          <w:p>
            <w:pPr>
              <w:spacing w:after="20"/>
            </w:pPr>
            <w:r>
              <w:rPr>
                <w:rFonts w:ascii="Arial" w:hAnsi="Arial"/>
                <w:b w:val="0"/>
                <w:sz w:val="15"/>
              </w:rPr>
              <w:t>à 6 mars 2026</w:t>
            </w:r>
          </w:p>
        </w:tc>
        <w:tc>
          <w:tcPr>
            <w:tcW w:type="dxa" w:w="1077"/>
          </w:tcPr>
          <w:p>
            <w:pPr>
              <w:spacing w:after="20" w:before="20"/>
            </w:pPr>
            <w:r/>
            <w:r>
              <w:rPr>
                <w:rFonts w:ascii="Arial" w:hAnsi="Arial"/>
                <w:b w:val="0"/>
                <w:sz w:val="15"/>
              </w:rPr>
              <w:t>1.4</w:t>
            </w:r>
          </w:p>
        </w:tc>
      </w:tr>
      <w:tr>
        <w:tc>
          <w:tcPr>
            <w:tcW w:type="dxa" w:w="567"/>
          </w:tcPr>
          <w:p>
            <w:pPr>
              <w:spacing w:after="20" w:before="20"/>
            </w:pPr>
            <w:r/>
            <w:r>
              <w:rPr>
                <w:rFonts w:ascii="Arial" w:hAnsi="Arial"/>
                <w:b w:val="0"/>
                <w:sz w:val="15"/>
              </w:rPr>
              <w:t>2.2</w:t>
            </w:r>
          </w:p>
        </w:tc>
        <w:tc>
          <w:tcPr>
            <w:tcW w:type="dxa" w:w="1984"/>
          </w:tcPr>
          <w:p>
            <w:pPr>
              <w:spacing w:after="20" w:before="20"/>
            </w:pPr>
            <w:r/>
            <w:r>
              <w:rPr>
                <w:rFonts w:ascii="Arial" w:hAnsi="Arial"/>
                <w:b w:val="0"/>
                <w:sz w:val="15"/>
              </w:rPr>
              <w:t>Audit de l'existant et inventaire des contenus</w:t>
            </w:r>
          </w:p>
        </w:tc>
        <w:tc>
          <w:tcPr>
            <w:tcW w:type="dxa" w:w="2608"/>
          </w:tcPr>
          <w:p>
            <w:pPr>
              <w:spacing w:after="20" w:before="20"/>
            </w:pPr>
            <w:r/>
            <w:r>
              <w:rPr>
                <w:rFonts w:ascii="Arial" w:hAnsi="Arial"/>
                <w:b w:val="0"/>
                <w:sz w:val="15"/>
              </w:rPr>
              <w:t>Inventaire des contenus réellement enseignés</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5 j</w:t>
            </w:r>
          </w:p>
        </w:tc>
        <w:tc>
          <w:tcPr>
            <w:tcW w:type="dxa" w:w="1474"/>
          </w:tcPr>
          <w:p>
            <w:pPr>
              <w:spacing w:after="20" w:before="20"/>
            </w:pPr>
            <w:r/>
            <w:r>
              <w:rPr>
                <w:rFonts w:ascii="Arial" w:hAnsi="Arial"/>
                <w:b w:val="0"/>
                <w:sz w:val="15"/>
              </w:rPr>
              <w:t>2 mars 2026</w:t>
            </w:r>
          </w:p>
          <w:p>
            <w:pPr>
              <w:spacing w:after="20"/>
            </w:pPr>
            <w:r>
              <w:rPr>
                <w:rFonts w:ascii="Arial" w:hAnsi="Arial"/>
                <w:b w:val="0"/>
                <w:sz w:val="15"/>
              </w:rPr>
              <w:t>à 20 mars 2026</w:t>
            </w:r>
          </w:p>
        </w:tc>
        <w:tc>
          <w:tcPr>
            <w:tcW w:type="dxa" w:w="1077"/>
          </w:tcPr>
          <w:p>
            <w:pPr>
              <w:spacing w:after="20" w:before="20"/>
            </w:pPr>
            <w:r/>
            <w:r>
              <w:rPr>
                <w:rFonts w:ascii="Arial" w:hAnsi="Arial"/>
                <w:b w:val="0"/>
                <w:sz w:val="15"/>
              </w:rPr>
              <w:t>2.1</w:t>
            </w:r>
          </w:p>
        </w:tc>
      </w:tr>
      <w:tr>
        <w:tc>
          <w:tcPr>
            <w:tcW w:type="dxa" w:w="567"/>
          </w:tcPr>
          <w:p>
            <w:pPr>
              <w:spacing w:after="20" w:before="20"/>
            </w:pPr>
            <w:r/>
            <w:r>
              <w:rPr>
                <w:rFonts w:ascii="Arial" w:hAnsi="Arial"/>
                <w:b w:val="0"/>
                <w:sz w:val="15"/>
              </w:rPr>
              <w:t>2.3</w:t>
            </w:r>
          </w:p>
        </w:tc>
        <w:tc>
          <w:tcPr>
            <w:tcW w:type="dxa" w:w="1984"/>
          </w:tcPr>
          <w:p>
            <w:pPr>
              <w:spacing w:after="20" w:before="20"/>
            </w:pPr>
            <w:r/>
            <w:r>
              <w:rPr>
                <w:rFonts w:ascii="Arial" w:hAnsi="Arial"/>
                <w:b w:val="0"/>
                <w:sz w:val="15"/>
              </w:rPr>
              <w:t>Analyse du besoin et diagnostic initial</w:t>
            </w:r>
          </w:p>
        </w:tc>
        <w:tc>
          <w:tcPr>
            <w:tcW w:type="dxa" w:w="2608"/>
          </w:tcPr>
          <w:p>
            <w:pPr>
              <w:spacing w:after="20" w:before="20"/>
            </w:pPr>
            <w:r/>
            <w:r>
              <w:rPr>
                <w:rFonts w:ascii="Arial" w:hAnsi="Arial"/>
                <w:b w:val="0"/>
                <w:sz w:val="15"/>
              </w:rPr>
              <w:t>Diagnostic, demande reformulée, problématique</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3 j</w:t>
            </w:r>
          </w:p>
        </w:tc>
        <w:tc>
          <w:tcPr>
            <w:tcW w:type="dxa" w:w="1474"/>
          </w:tcPr>
          <w:p>
            <w:pPr>
              <w:spacing w:after="20" w:before="20"/>
            </w:pPr>
            <w:r/>
            <w:r>
              <w:rPr>
                <w:rFonts w:ascii="Arial" w:hAnsi="Arial"/>
                <w:b w:val="0"/>
                <w:sz w:val="15"/>
              </w:rPr>
              <w:t>9 mars 2026</w:t>
            </w:r>
          </w:p>
          <w:p>
            <w:pPr>
              <w:spacing w:after="20"/>
            </w:pPr>
            <w:r>
              <w:rPr>
                <w:rFonts w:ascii="Arial" w:hAnsi="Arial"/>
                <w:b w:val="0"/>
                <w:sz w:val="15"/>
              </w:rPr>
              <w:t>à 17 mars 2026</w:t>
            </w:r>
          </w:p>
        </w:tc>
        <w:tc>
          <w:tcPr>
            <w:tcW w:type="dxa" w:w="1077"/>
          </w:tcPr>
          <w:p>
            <w:pPr>
              <w:spacing w:after="20" w:before="20"/>
            </w:pPr>
            <w:r/>
            <w:r>
              <w:rPr>
                <w:rFonts w:ascii="Arial" w:hAnsi="Arial"/>
                <w:b w:val="0"/>
                <w:sz w:val="15"/>
              </w:rPr>
              <w:t>2.2</w:t>
            </w:r>
          </w:p>
        </w:tc>
      </w:tr>
      <w:tr>
        <w:tc>
          <w:tcPr>
            <w:tcW w:type="dxa" w:w="567"/>
          </w:tcPr>
          <w:p>
            <w:pPr>
              <w:spacing w:after="20" w:before="20"/>
            </w:pPr>
            <w:r/>
            <w:r>
              <w:rPr>
                <w:rFonts w:ascii="Arial" w:hAnsi="Arial"/>
                <w:b w:val="0"/>
                <w:sz w:val="15"/>
              </w:rPr>
              <w:t>2.4</w:t>
            </w:r>
          </w:p>
        </w:tc>
        <w:tc>
          <w:tcPr>
            <w:tcW w:type="dxa" w:w="1984"/>
          </w:tcPr>
          <w:p>
            <w:pPr>
              <w:spacing w:after="20" w:before="20"/>
            </w:pPr>
            <w:r/>
            <w:r>
              <w:rPr>
                <w:rFonts w:ascii="Arial" w:hAnsi="Arial"/>
                <w:b w:val="0"/>
                <w:sz w:val="15"/>
              </w:rPr>
              <w:t>Rétro-conception B1 : blocs et compétences</w:t>
            </w:r>
          </w:p>
        </w:tc>
        <w:tc>
          <w:tcPr>
            <w:tcW w:type="dxa" w:w="2608"/>
          </w:tcPr>
          <w:p>
            <w:pPr>
              <w:spacing w:after="20" w:before="20"/>
            </w:pPr>
            <w:r/>
            <w:r>
              <w:rPr>
                <w:rFonts w:ascii="Arial" w:hAnsi="Arial"/>
                <w:b w:val="0"/>
                <w:sz w:val="15"/>
              </w:rPr>
              <w:t>Référentiel B1 Tronc Commun</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8 j</w:t>
            </w:r>
          </w:p>
        </w:tc>
        <w:tc>
          <w:tcPr>
            <w:tcW w:type="dxa" w:w="1474"/>
          </w:tcPr>
          <w:p>
            <w:pPr>
              <w:spacing w:after="20" w:before="20"/>
            </w:pPr>
            <w:r/>
            <w:r>
              <w:rPr>
                <w:rFonts w:ascii="Arial" w:hAnsi="Arial"/>
                <w:b w:val="0"/>
                <w:sz w:val="15"/>
              </w:rPr>
              <w:t>18 mars 2026</w:t>
            </w:r>
          </w:p>
          <w:p>
            <w:pPr>
              <w:spacing w:after="20"/>
            </w:pPr>
            <w:r>
              <w:rPr>
                <w:rFonts w:ascii="Arial" w:hAnsi="Arial"/>
                <w:b w:val="0"/>
                <w:sz w:val="15"/>
              </w:rPr>
              <w:t>à 17 avril 2026</w:t>
            </w:r>
          </w:p>
        </w:tc>
        <w:tc>
          <w:tcPr>
            <w:tcW w:type="dxa" w:w="1077"/>
          </w:tcPr>
          <w:p>
            <w:pPr>
              <w:spacing w:after="20" w:before="20"/>
            </w:pPr>
            <w:r/>
            <w:r>
              <w:rPr>
                <w:rFonts w:ascii="Arial" w:hAnsi="Arial"/>
                <w:b w:val="0"/>
                <w:sz w:val="15"/>
              </w:rPr>
              <w:t>2.3</w:t>
            </w:r>
          </w:p>
        </w:tc>
      </w:tr>
      <w:tr>
        <w:tc>
          <w:tcPr>
            <w:tcW w:type="dxa" w:w="567"/>
          </w:tcPr>
          <w:p>
            <w:pPr>
              <w:spacing w:after="20" w:before="20"/>
            </w:pPr>
            <w:r/>
            <w:r>
              <w:rPr>
                <w:rFonts w:ascii="Arial" w:hAnsi="Arial"/>
                <w:b w:val="0"/>
                <w:sz w:val="15"/>
              </w:rPr>
              <w:t>2.5</w:t>
            </w:r>
          </w:p>
        </w:tc>
        <w:tc>
          <w:tcPr>
            <w:tcW w:type="dxa" w:w="1984"/>
          </w:tcPr>
          <w:p>
            <w:pPr>
              <w:spacing w:after="20" w:before="20"/>
            </w:pPr>
            <w:r/>
            <w:r>
              <w:rPr>
                <w:rFonts w:ascii="Arial" w:hAnsi="Arial"/>
                <w:b w:val="0"/>
                <w:sz w:val="15"/>
              </w:rPr>
              <w:t>Rétro-conception B2 : blocs et compétences</w:t>
            </w:r>
          </w:p>
        </w:tc>
        <w:tc>
          <w:tcPr>
            <w:tcW w:type="dxa" w:w="2608"/>
          </w:tcPr>
          <w:p>
            <w:pPr>
              <w:spacing w:after="20" w:before="20"/>
            </w:pPr>
            <w:r/>
            <w:r>
              <w:rPr>
                <w:rFonts w:ascii="Arial" w:hAnsi="Arial"/>
                <w:b w:val="0"/>
                <w:sz w:val="15"/>
              </w:rPr>
              <w:t>Référentiels B2 Full Stack et Cybersécurité</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8 j</w:t>
            </w:r>
          </w:p>
        </w:tc>
        <w:tc>
          <w:tcPr>
            <w:tcW w:type="dxa" w:w="1474"/>
          </w:tcPr>
          <w:p>
            <w:pPr>
              <w:spacing w:after="20" w:before="20"/>
            </w:pPr>
            <w:r/>
            <w:r>
              <w:rPr>
                <w:rFonts w:ascii="Arial" w:hAnsi="Arial"/>
                <w:b w:val="0"/>
                <w:sz w:val="15"/>
              </w:rPr>
              <w:t>20 avril 2026</w:t>
            </w:r>
          </w:p>
          <w:p>
            <w:pPr>
              <w:spacing w:after="20"/>
            </w:pPr>
            <w:r>
              <w:rPr>
                <w:rFonts w:ascii="Arial" w:hAnsi="Arial"/>
                <w:b w:val="0"/>
                <w:sz w:val="15"/>
              </w:rPr>
              <w:t>à 22 mai 2026</w:t>
            </w:r>
          </w:p>
        </w:tc>
        <w:tc>
          <w:tcPr>
            <w:tcW w:type="dxa" w:w="1077"/>
          </w:tcPr>
          <w:p>
            <w:pPr>
              <w:spacing w:after="20" w:before="20"/>
            </w:pPr>
            <w:r/>
            <w:r>
              <w:rPr>
                <w:rFonts w:ascii="Arial" w:hAnsi="Arial"/>
                <w:b w:val="0"/>
                <w:sz w:val="15"/>
              </w:rPr>
              <w:t>2.4</w:t>
            </w:r>
          </w:p>
        </w:tc>
      </w:tr>
      <w:tr>
        <w:tc>
          <w:tcPr>
            <w:tcW w:type="dxa" w:w="567"/>
          </w:tcPr>
          <w:p>
            <w:pPr>
              <w:spacing w:after="20" w:before="20"/>
            </w:pPr>
            <w:r/>
            <w:r>
              <w:rPr>
                <w:rFonts w:ascii="Arial" w:hAnsi="Arial"/>
                <w:b w:val="0"/>
                <w:sz w:val="15"/>
              </w:rPr>
              <w:t>2.6</w:t>
            </w:r>
          </w:p>
        </w:tc>
        <w:tc>
          <w:tcPr>
            <w:tcW w:type="dxa" w:w="1984"/>
          </w:tcPr>
          <w:p>
            <w:pPr>
              <w:spacing w:after="20" w:before="20"/>
            </w:pPr>
            <w:r/>
            <w:r>
              <w:rPr>
                <w:rFonts w:ascii="Arial" w:hAnsi="Arial"/>
                <w:b w:val="0"/>
                <w:sz w:val="15"/>
              </w:rPr>
              <w:t>Matrices de couverture des compétences</w:t>
            </w:r>
          </w:p>
        </w:tc>
        <w:tc>
          <w:tcPr>
            <w:tcW w:type="dxa" w:w="2608"/>
          </w:tcPr>
          <w:p>
            <w:pPr>
              <w:spacing w:after="20" w:before="20"/>
            </w:pPr>
            <w:r/>
            <w:r>
              <w:rPr>
                <w:rFonts w:ascii="Arial" w:hAnsi="Arial"/>
                <w:b w:val="0"/>
                <w:sz w:val="15"/>
              </w:rPr>
              <w:t>Matrices de couverture B1 et B2</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4 j</w:t>
            </w:r>
          </w:p>
        </w:tc>
        <w:tc>
          <w:tcPr>
            <w:tcW w:type="dxa" w:w="1474"/>
          </w:tcPr>
          <w:p>
            <w:pPr>
              <w:spacing w:after="20" w:before="20"/>
            </w:pPr>
            <w:r/>
            <w:r>
              <w:rPr>
                <w:rFonts w:ascii="Arial" w:hAnsi="Arial"/>
                <w:b w:val="0"/>
                <w:sz w:val="15"/>
              </w:rPr>
              <w:t>27 avril 2026</w:t>
            </w:r>
          </w:p>
          <w:p>
            <w:pPr>
              <w:spacing w:after="20"/>
            </w:pPr>
            <w:r>
              <w:rPr>
                <w:rFonts w:ascii="Arial" w:hAnsi="Arial"/>
                <w:b w:val="0"/>
                <w:sz w:val="15"/>
              </w:rPr>
              <w:t>à 29 mai 2026</w:t>
            </w:r>
          </w:p>
        </w:tc>
        <w:tc>
          <w:tcPr>
            <w:tcW w:type="dxa" w:w="1077"/>
          </w:tcPr>
          <w:p>
            <w:pPr>
              <w:spacing w:after="20" w:before="20"/>
            </w:pPr>
            <w:r/>
            <w:r>
              <w:rPr>
                <w:rFonts w:ascii="Arial" w:hAnsi="Arial"/>
                <w:b w:val="0"/>
                <w:sz w:val="15"/>
              </w:rPr>
              <w:t>2.4</w:t>
            </w:r>
          </w:p>
        </w:tc>
      </w:tr>
      <w:tr>
        <w:tc>
          <w:tcPr>
            <w:tcW w:type="dxa" w:w="567"/>
          </w:tcPr>
          <w:p>
            <w:pPr>
              <w:spacing w:after="20" w:before="20"/>
            </w:pPr>
            <w:r/>
            <w:r>
              <w:rPr>
                <w:rFonts w:ascii="Arial" w:hAnsi="Arial"/>
                <w:b w:val="0"/>
                <w:sz w:val="15"/>
              </w:rPr>
              <w:t>2.7</w:t>
            </w:r>
          </w:p>
        </w:tc>
        <w:tc>
          <w:tcPr>
            <w:tcW w:type="dxa" w:w="1984"/>
          </w:tcPr>
          <w:p>
            <w:pPr>
              <w:spacing w:after="20" w:before="20"/>
            </w:pPr>
            <w:r/>
            <w:r>
              <w:rPr>
                <w:rFonts w:ascii="Arial" w:hAnsi="Arial"/>
                <w:b w:val="0"/>
                <w:sz w:val="15"/>
              </w:rPr>
              <w:t>Ordonnancement et prérequis</w:t>
            </w:r>
          </w:p>
        </w:tc>
        <w:tc>
          <w:tcPr>
            <w:tcW w:type="dxa" w:w="2608"/>
          </w:tcPr>
          <w:p>
            <w:pPr>
              <w:spacing w:after="20" w:before="20"/>
            </w:pPr>
            <w:r/>
            <w:r>
              <w:rPr>
                <w:rFonts w:ascii="Arial" w:hAnsi="Arial"/>
                <w:b w:val="0"/>
                <w:sz w:val="15"/>
              </w:rPr>
              <w:t>Progression sans rupture de prérequis</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3 j</w:t>
            </w:r>
          </w:p>
        </w:tc>
        <w:tc>
          <w:tcPr>
            <w:tcW w:type="dxa" w:w="1474"/>
          </w:tcPr>
          <w:p>
            <w:pPr>
              <w:spacing w:after="20" w:before="20"/>
            </w:pPr>
            <w:r/>
            <w:r>
              <w:rPr>
                <w:rFonts w:ascii="Arial" w:hAnsi="Arial"/>
                <w:b w:val="0"/>
                <w:sz w:val="15"/>
              </w:rPr>
              <w:t>11 mai 2026</w:t>
            </w:r>
          </w:p>
          <w:p>
            <w:pPr>
              <w:spacing w:after="20"/>
            </w:pPr>
            <w:r>
              <w:rPr>
                <w:rFonts w:ascii="Arial" w:hAnsi="Arial"/>
                <w:b w:val="0"/>
                <w:sz w:val="15"/>
              </w:rPr>
              <w:t>à 5 juin 2026</w:t>
            </w:r>
          </w:p>
        </w:tc>
        <w:tc>
          <w:tcPr>
            <w:tcW w:type="dxa" w:w="1077"/>
          </w:tcPr>
          <w:p>
            <w:pPr>
              <w:spacing w:after="20" w:before="20"/>
            </w:pPr>
            <w:r/>
            <w:r>
              <w:rPr>
                <w:rFonts w:ascii="Arial" w:hAnsi="Arial"/>
                <w:b w:val="0"/>
                <w:sz w:val="15"/>
              </w:rPr>
              <w:t>2.6</w:t>
            </w:r>
          </w:p>
        </w:tc>
      </w:tr>
      <w:tr>
        <w:tc>
          <w:tcPr>
            <w:tcW w:type="dxa" w:w="567"/>
          </w:tcPr>
          <w:p>
            <w:pPr>
              <w:spacing w:after="20" w:before="20"/>
            </w:pPr>
            <w:r/>
            <w:r>
              <w:rPr>
                <w:rFonts w:ascii="Arial" w:hAnsi="Arial"/>
                <w:b w:val="0"/>
                <w:sz w:val="15"/>
              </w:rPr>
              <w:t>2.8</w:t>
            </w:r>
          </w:p>
        </w:tc>
        <w:tc>
          <w:tcPr>
            <w:tcW w:type="dxa" w:w="1984"/>
          </w:tcPr>
          <w:p>
            <w:pPr>
              <w:spacing w:after="20" w:before="20"/>
            </w:pPr>
            <w:r/>
            <w:r>
              <w:rPr>
                <w:rFonts w:ascii="Arial" w:hAnsi="Arial"/>
                <w:b w:val="0"/>
                <w:sz w:val="15"/>
              </w:rPr>
              <w:t>Règlement des examens B1 et B2</w:t>
            </w:r>
          </w:p>
        </w:tc>
        <w:tc>
          <w:tcPr>
            <w:tcW w:type="dxa" w:w="2608"/>
          </w:tcPr>
          <w:p>
            <w:pPr>
              <w:spacing w:after="20" w:before="20"/>
            </w:pPr>
            <w:r/>
            <w:r>
              <w:rPr>
                <w:rFonts w:ascii="Arial" w:hAnsi="Arial"/>
                <w:b w:val="0"/>
                <w:sz w:val="15"/>
              </w:rPr>
              <w:t>Règlement des examens</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3 j</w:t>
            </w:r>
          </w:p>
        </w:tc>
        <w:tc>
          <w:tcPr>
            <w:tcW w:type="dxa" w:w="1474"/>
          </w:tcPr>
          <w:p>
            <w:pPr>
              <w:spacing w:after="20" w:before="20"/>
            </w:pPr>
            <w:r/>
            <w:r>
              <w:rPr>
                <w:rFonts w:ascii="Arial" w:hAnsi="Arial"/>
                <w:b w:val="0"/>
                <w:sz w:val="15"/>
              </w:rPr>
              <w:t>18 mai 2026</w:t>
            </w:r>
          </w:p>
          <w:p>
            <w:pPr>
              <w:spacing w:after="20"/>
            </w:pPr>
            <w:r>
              <w:rPr>
                <w:rFonts w:ascii="Arial" w:hAnsi="Arial"/>
                <w:b w:val="0"/>
                <w:sz w:val="15"/>
              </w:rPr>
              <w:t>à 12 juin 2026</w:t>
            </w:r>
          </w:p>
        </w:tc>
        <w:tc>
          <w:tcPr>
            <w:tcW w:type="dxa" w:w="1077"/>
          </w:tcPr>
          <w:p>
            <w:pPr>
              <w:spacing w:after="20" w:before="20"/>
            </w:pPr>
            <w:r/>
            <w:r>
              <w:rPr>
                <w:rFonts w:ascii="Arial" w:hAnsi="Arial"/>
                <w:b w:val="0"/>
                <w:sz w:val="15"/>
              </w:rPr>
              <w:t>2.6</w:t>
            </w:r>
          </w:p>
        </w:tc>
      </w:tr>
      <w:tr>
        <w:tc>
          <w:tcPr>
            <w:tcW w:type="dxa" w:w="567"/>
          </w:tcPr>
          <w:p>
            <w:pPr>
              <w:spacing w:after="20" w:before="20"/>
            </w:pPr>
            <w:r/>
            <w:r>
              <w:rPr>
                <w:rFonts w:ascii="Arial" w:hAnsi="Arial"/>
                <w:b w:val="0"/>
                <w:sz w:val="15"/>
              </w:rPr>
              <w:t>2.9</w:t>
            </w:r>
          </w:p>
        </w:tc>
        <w:tc>
          <w:tcPr>
            <w:tcW w:type="dxa" w:w="1984"/>
          </w:tcPr>
          <w:p>
            <w:pPr>
              <w:spacing w:after="20" w:before="20"/>
            </w:pPr>
            <w:r/>
            <w:r>
              <w:rPr>
                <w:rFonts w:ascii="Arial" w:hAnsi="Arial"/>
                <w:b w:val="0"/>
                <w:sz w:val="15"/>
              </w:rPr>
              <w:t>Revue d'expert avec le certificateur</w:t>
            </w:r>
          </w:p>
        </w:tc>
        <w:tc>
          <w:tcPr>
            <w:tcW w:type="dxa" w:w="2608"/>
          </w:tcPr>
          <w:p>
            <w:pPr>
              <w:spacing w:after="20" w:before="20"/>
            </w:pPr>
            <w:r/>
            <w:r>
              <w:rPr>
                <w:rFonts w:ascii="Arial" w:hAnsi="Arial"/>
                <w:b w:val="0"/>
                <w:sz w:val="15"/>
              </w:rPr>
              <w:t>Retours d'expert intégrés</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1 j</w:t>
            </w:r>
          </w:p>
        </w:tc>
        <w:tc>
          <w:tcPr>
            <w:tcW w:type="dxa" w:w="1474"/>
          </w:tcPr>
          <w:p>
            <w:pPr>
              <w:spacing w:after="20" w:before="20"/>
            </w:pPr>
            <w:r/>
            <w:r>
              <w:rPr>
                <w:rFonts w:ascii="Arial" w:hAnsi="Arial"/>
                <w:b w:val="0"/>
                <w:sz w:val="15"/>
              </w:rPr>
              <w:t>11 mai 2026</w:t>
            </w:r>
          </w:p>
          <w:p>
            <w:pPr>
              <w:spacing w:after="20"/>
            </w:pPr>
            <w:r>
              <w:rPr>
                <w:rFonts w:ascii="Arial" w:hAnsi="Arial"/>
                <w:b w:val="0"/>
                <w:sz w:val="15"/>
              </w:rPr>
              <w:t>à 15 mai 2026</w:t>
            </w:r>
          </w:p>
        </w:tc>
        <w:tc>
          <w:tcPr>
            <w:tcW w:type="dxa" w:w="1077"/>
          </w:tcPr>
          <w:p>
            <w:pPr>
              <w:spacing w:after="20" w:before="20"/>
            </w:pPr>
            <w:r/>
            <w:r>
              <w:rPr>
                <w:rFonts w:ascii="Arial" w:hAnsi="Arial"/>
                <w:b w:val="0"/>
                <w:sz w:val="15"/>
              </w:rPr>
              <w:t>2.5</w:t>
            </w:r>
          </w:p>
        </w:tc>
      </w:tr>
      <w:tr>
        <w:tc>
          <w:tcPr>
            <w:tcW w:type="dxa" w:w="567"/>
          </w:tcPr>
          <w:p>
            <w:pPr>
              <w:spacing w:after="20" w:before="20"/>
            </w:pPr>
            <w:r/>
            <w:r>
              <w:rPr>
                <w:rFonts w:ascii="Arial" w:hAnsi="Arial"/>
                <w:b w:val="0"/>
                <w:sz w:val="15"/>
              </w:rPr>
              <w:t>2.10</w:t>
            </w:r>
          </w:p>
        </w:tc>
        <w:tc>
          <w:tcPr>
            <w:tcW w:type="dxa" w:w="1984"/>
          </w:tcPr>
          <w:p>
            <w:pPr>
              <w:spacing w:after="20" w:before="20"/>
            </w:pPr>
            <w:r/>
            <w:r>
              <w:rPr>
                <w:rFonts w:ascii="Arial" w:hAnsi="Arial"/>
                <w:b w:val="0"/>
                <w:sz w:val="15"/>
              </w:rPr>
              <w:t>Arbitrages pédagogiques et programme de transition</w:t>
            </w:r>
          </w:p>
        </w:tc>
        <w:tc>
          <w:tcPr>
            <w:tcW w:type="dxa" w:w="2608"/>
          </w:tcPr>
          <w:p>
            <w:pPr>
              <w:spacing w:after="20" w:before="20"/>
            </w:pPr>
            <w:r/>
            <w:r>
              <w:rPr>
                <w:rFonts w:ascii="Arial" w:hAnsi="Arial"/>
                <w:b w:val="0"/>
                <w:sz w:val="15"/>
              </w:rPr>
              <w:t>Arbitrages tracés, programme hybride de transition</w:t>
            </w:r>
          </w:p>
        </w:tc>
        <w:tc>
          <w:tcPr>
            <w:tcW w:type="dxa" w:w="1417"/>
          </w:tcPr>
          <w:p>
            <w:pPr>
              <w:spacing w:after="20" w:before="20"/>
            </w:pPr>
            <w:r/>
            <w:r>
              <w:rPr>
                <w:rFonts w:ascii="Arial" w:hAnsi="Arial"/>
                <w:b w:val="0"/>
                <w:sz w:val="15"/>
              </w:rPr>
              <w:t>Responsable pédagogique</w:t>
            </w:r>
          </w:p>
        </w:tc>
        <w:tc>
          <w:tcPr>
            <w:tcW w:type="dxa" w:w="624"/>
          </w:tcPr>
          <w:p>
            <w:pPr>
              <w:spacing w:after="20" w:before="20"/>
            </w:pPr>
            <w:r/>
            <w:r>
              <w:rPr>
                <w:rFonts w:ascii="Arial" w:hAnsi="Arial"/>
                <w:b w:val="0"/>
                <w:sz w:val="15"/>
              </w:rPr>
              <w:t>1 j</w:t>
            </w:r>
          </w:p>
        </w:tc>
        <w:tc>
          <w:tcPr>
            <w:tcW w:type="dxa" w:w="1474"/>
          </w:tcPr>
          <w:p>
            <w:pPr>
              <w:spacing w:after="20" w:before="20"/>
            </w:pPr>
            <w:r/>
            <w:r>
              <w:rPr>
                <w:rFonts w:ascii="Arial" w:hAnsi="Arial"/>
                <w:b w:val="0"/>
                <w:sz w:val="15"/>
              </w:rPr>
              <w:t>1 juin 2026</w:t>
            </w:r>
          </w:p>
          <w:p>
            <w:pPr>
              <w:spacing w:after="20"/>
            </w:pPr>
            <w:r>
              <w:rPr>
                <w:rFonts w:ascii="Arial" w:hAnsi="Arial"/>
                <w:b w:val="0"/>
                <w:sz w:val="15"/>
              </w:rPr>
              <w:t>à 19 juin 2026</w:t>
            </w:r>
          </w:p>
        </w:tc>
        <w:tc>
          <w:tcPr>
            <w:tcW w:type="dxa" w:w="1077"/>
          </w:tcPr>
          <w:p>
            <w:pPr>
              <w:spacing w:after="20" w:before="20"/>
            </w:pPr>
            <w:r/>
            <w:r>
              <w:rPr>
                <w:rFonts w:ascii="Arial" w:hAnsi="Arial"/>
                <w:b w:val="0"/>
                <w:sz w:val="15"/>
              </w:rPr>
              <w:t>2.7</w:t>
            </w:r>
          </w:p>
        </w:tc>
      </w:tr>
    </w:tbl>
    <w:p>
      <w:pPr>
        <w:spacing w:before="0" w:after="120"/>
      </w:pPr>
    </w:p>
    <w:p>
      <w:pPr>
        <w:spacing w:before="40" w:after="60"/>
      </w:pPr>
      <w:r>
        <w:rPr>
          <w:rFonts w:ascii="Arial" w:hAnsi="Arial"/>
          <w:b/>
          <w:i w:val="0"/>
          <w:color w:val="1F3864"/>
          <w:sz w:val="20"/>
        </w:rPr>
        <w:t>Lot 3 · FormaPlanner        34 jours        1 avril 2026 à 14 août 2026</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1393"/>
        <w:gridCol w:w="1393"/>
        <w:gridCol w:w="1393"/>
        <w:gridCol w:w="1393"/>
        <w:gridCol w:w="1393"/>
        <w:gridCol w:w="1393"/>
        <w:gridCol w:w="1393"/>
      </w:tblGrid>
      <w:tr>
        <w:trPr>
          <w:tblHeader w:val="true"/>
        </w:trPr>
        <w:tc>
          <w:tcPr>
            <w:tcW w:type="dxa" w:w="567"/>
            <w:shd w:val="clear" w:fill="1F3864"/>
          </w:tcPr>
          <w:p>
            <w:pPr>
              <w:spacing w:after="20" w:before="20"/>
            </w:pPr>
            <w:r/>
            <w:r>
              <w:rPr>
                <w:rFonts w:ascii="Arial" w:hAnsi="Arial"/>
                <w:b/>
                <w:color w:val="FFFFFF"/>
                <w:sz w:val="15"/>
              </w:rPr>
              <w:t>ID</w:t>
            </w:r>
          </w:p>
        </w:tc>
        <w:tc>
          <w:tcPr>
            <w:tcW w:type="dxa" w:w="1984"/>
            <w:shd w:val="clear" w:fill="1F3864"/>
          </w:tcPr>
          <w:p>
            <w:pPr>
              <w:spacing w:after="20" w:before="20"/>
            </w:pPr>
            <w:r/>
            <w:r>
              <w:rPr>
                <w:rFonts w:ascii="Arial" w:hAnsi="Arial"/>
                <w:b/>
                <w:color w:val="FFFFFF"/>
                <w:sz w:val="15"/>
              </w:rPr>
              <w:t>Lot de travail</w:t>
            </w:r>
          </w:p>
        </w:tc>
        <w:tc>
          <w:tcPr>
            <w:tcW w:type="dxa" w:w="2608"/>
            <w:shd w:val="clear" w:fill="1F3864"/>
          </w:tcPr>
          <w:p>
            <w:pPr>
              <w:spacing w:after="20" w:before="20"/>
            </w:pPr>
            <w:r/>
            <w:r>
              <w:rPr>
                <w:rFonts w:ascii="Arial" w:hAnsi="Arial"/>
                <w:b/>
                <w:color w:val="FFFFFF"/>
                <w:sz w:val="15"/>
              </w:rPr>
              <w:t>Produit ou résultat attendu</w:t>
            </w:r>
          </w:p>
        </w:tc>
        <w:tc>
          <w:tcPr>
            <w:tcW w:type="dxa" w:w="1417"/>
            <w:shd w:val="clear" w:fill="1F3864"/>
          </w:tcPr>
          <w:p>
            <w:pPr>
              <w:spacing w:after="20" w:before="20"/>
            </w:pPr>
            <w:r/>
            <w:r>
              <w:rPr>
                <w:rFonts w:ascii="Arial" w:hAnsi="Arial"/>
                <w:b/>
                <w:color w:val="FFFFFF"/>
                <w:sz w:val="15"/>
              </w:rPr>
              <w:t>Pilote</w:t>
            </w:r>
          </w:p>
        </w:tc>
        <w:tc>
          <w:tcPr>
            <w:tcW w:type="dxa" w:w="624"/>
            <w:shd w:val="clear" w:fill="1F3864"/>
          </w:tcPr>
          <w:p>
            <w:pPr>
              <w:spacing w:after="20" w:before="20"/>
            </w:pPr>
            <w:r/>
            <w:r>
              <w:rPr>
                <w:rFonts w:ascii="Arial" w:hAnsi="Arial"/>
                <w:b/>
                <w:color w:val="FFFFFF"/>
                <w:sz w:val="15"/>
              </w:rPr>
              <w:t>Charge</w:t>
            </w:r>
          </w:p>
        </w:tc>
        <w:tc>
          <w:tcPr>
            <w:tcW w:type="dxa" w:w="1474"/>
            <w:shd w:val="clear" w:fill="1F3864"/>
          </w:tcPr>
          <w:p>
            <w:pPr>
              <w:spacing w:after="20" w:before="20"/>
            </w:pPr>
            <w:r/>
            <w:r>
              <w:rPr>
                <w:rFonts w:ascii="Arial" w:hAnsi="Arial"/>
                <w:b/>
                <w:color w:val="FFFFFF"/>
                <w:sz w:val="15"/>
              </w:rPr>
              <w:t>Période</w:t>
            </w:r>
          </w:p>
        </w:tc>
        <w:tc>
          <w:tcPr>
            <w:tcW w:type="dxa" w:w="1077"/>
            <w:shd w:val="clear" w:fill="1F3864"/>
          </w:tcPr>
          <w:p>
            <w:pPr>
              <w:spacing w:after="20" w:before="20"/>
            </w:pPr>
            <w:r/>
            <w:r>
              <w:rPr>
                <w:rFonts w:ascii="Arial" w:hAnsi="Arial"/>
                <w:b/>
                <w:color w:val="FFFFFF"/>
                <w:sz w:val="15"/>
              </w:rPr>
              <w:t>Dépend de</w:t>
            </w:r>
          </w:p>
        </w:tc>
      </w:tr>
      <w:tr>
        <w:tc>
          <w:tcPr>
            <w:tcW w:type="dxa" w:w="567"/>
          </w:tcPr>
          <w:p>
            <w:pPr>
              <w:spacing w:after="20" w:before="20"/>
            </w:pPr>
            <w:r/>
            <w:r>
              <w:rPr>
                <w:rFonts w:ascii="Arial" w:hAnsi="Arial"/>
                <w:b w:val="0"/>
                <w:sz w:val="15"/>
              </w:rPr>
              <w:t>3.1</w:t>
            </w:r>
          </w:p>
        </w:tc>
        <w:tc>
          <w:tcPr>
            <w:tcW w:type="dxa" w:w="1984"/>
          </w:tcPr>
          <w:p>
            <w:pPr>
              <w:spacing w:after="20" w:before="20"/>
            </w:pPr>
            <w:r/>
            <w:r>
              <w:rPr>
                <w:rFonts w:ascii="Arial" w:hAnsi="Arial"/>
                <w:b w:val="0"/>
                <w:sz w:val="15"/>
              </w:rPr>
              <w:t>Cadrage fonctionnel et décision de développement</w:t>
            </w:r>
          </w:p>
        </w:tc>
        <w:tc>
          <w:tcPr>
            <w:tcW w:type="dxa" w:w="2608"/>
          </w:tcPr>
          <w:p>
            <w:pPr>
              <w:spacing w:after="20" w:before="20"/>
            </w:pPr>
            <w:r/>
            <w:r>
              <w:rPr>
                <w:rFonts w:ascii="Arial" w:hAnsi="Arial"/>
                <w:b w:val="0"/>
                <w:sz w:val="15"/>
              </w:rPr>
              <w:t>Périmètre applicatif, décision de faire</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2 j</w:t>
            </w:r>
          </w:p>
        </w:tc>
        <w:tc>
          <w:tcPr>
            <w:tcW w:type="dxa" w:w="1474"/>
          </w:tcPr>
          <w:p>
            <w:pPr>
              <w:spacing w:after="20" w:before="20"/>
            </w:pPr>
            <w:r/>
            <w:r>
              <w:rPr>
                <w:rFonts w:ascii="Arial" w:hAnsi="Arial"/>
                <w:b w:val="0"/>
                <w:sz w:val="15"/>
              </w:rPr>
              <w:t>1 avril 2026</w:t>
            </w:r>
          </w:p>
          <w:p>
            <w:pPr>
              <w:spacing w:after="20"/>
            </w:pPr>
            <w:r>
              <w:rPr>
                <w:rFonts w:ascii="Arial" w:hAnsi="Arial"/>
                <w:b w:val="0"/>
                <w:sz w:val="15"/>
              </w:rPr>
              <w:t>à 7 avril 2026</w:t>
            </w:r>
          </w:p>
        </w:tc>
        <w:tc>
          <w:tcPr>
            <w:tcW w:type="dxa" w:w="1077"/>
          </w:tcPr>
          <w:p>
            <w:pPr>
              <w:spacing w:after="20" w:before="20"/>
            </w:pPr>
            <w:r/>
            <w:r>
              <w:rPr>
                <w:rFonts w:ascii="Arial" w:hAnsi="Arial"/>
                <w:b w:val="0"/>
                <w:sz w:val="15"/>
              </w:rPr>
              <w:t>2.3</w:t>
            </w:r>
          </w:p>
        </w:tc>
      </w:tr>
      <w:tr>
        <w:tc>
          <w:tcPr>
            <w:tcW w:type="dxa" w:w="567"/>
          </w:tcPr>
          <w:p>
            <w:pPr>
              <w:spacing w:after="20" w:before="20"/>
            </w:pPr>
            <w:r/>
            <w:r>
              <w:rPr>
                <w:rFonts w:ascii="Arial" w:hAnsi="Arial"/>
                <w:b w:val="0"/>
                <w:sz w:val="15"/>
              </w:rPr>
              <w:t>3.2</w:t>
            </w:r>
          </w:p>
        </w:tc>
        <w:tc>
          <w:tcPr>
            <w:tcW w:type="dxa" w:w="1984"/>
          </w:tcPr>
          <w:p>
            <w:pPr>
              <w:spacing w:after="20" w:before="20"/>
            </w:pPr>
            <w:r/>
            <w:r>
              <w:rPr>
                <w:rFonts w:ascii="Arial" w:hAnsi="Arial"/>
                <w:b w:val="0"/>
                <w:sz w:val="15"/>
              </w:rPr>
              <w:t>Développement V1 : collecte et consolidation</w:t>
            </w:r>
          </w:p>
        </w:tc>
        <w:tc>
          <w:tcPr>
            <w:tcW w:type="dxa" w:w="2608"/>
          </w:tcPr>
          <w:p>
            <w:pPr>
              <w:spacing w:after="20" w:before="20"/>
            </w:pPr>
            <w:r/>
            <w:r>
              <w:rPr>
                <w:rFonts w:ascii="Arial" w:hAnsi="Arial"/>
                <w:b w:val="0"/>
                <w:sz w:val="15"/>
              </w:rPr>
              <w:t>Application V1 en service</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9 j</w:t>
            </w:r>
          </w:p>
        </w:tc>
        <w:tc>
          <w:tcPr>
            <w:tcW w:type="dxa" w:w="1474"/>
          </w:tcPr>
          <w:p>
            <w:pPr>
              <w:spacing w:after="20" w:before="20"/>
            </w:pPr>
            <w:r/>
            <w:r>
              <w:rPr>
                <w:rFonts w:ascii="Arial" w:hAnsi="Arial"/>
                <w:b w:val="0"/>
                <w:sz w:val="15"/>
              </w:rPr>
              <w:t>8 avril 2026</w:t>
            </w:r>
          </w:p>
          <w:p>
            <w:pPr>
              <w:spacing w:after="20"/>
            </w:pPr>
            <w:r>
              <w:rPr>
                <w:rFonts w:ascii="Arial" w:hAnsi="Arial"/>
                <w:b w:val="0"/>
                <w:sz w:val="15"/>
              </w:rPr>
              <w:t>à 15 mai 2026</w:t>
            </w:r>
          </w:p>
        </w:tc>
        <w:tc>
          <w:tcPr>
            <w:tcW w:type="dxa" w:w="1077"/>
          </w:tcPr>
          <w:p>
            <w:pPr>
              <w:spacing w:after="20" w:before="20"/>
            </w:pPr>
            <w:r/>
            <w:r>
              <w:rPr>
                <w:rFonts w:ascii="Arial" w:hAnsi="Arial"/>
                <w:b w:val="0"/>
                <w:sz w:val="15"/>
              </w:rPr>
              <w:t>3.1</w:t>
            </w:r>
          </w:p>
        </w:tc>
      </w:tr>
      <w:tr>
        <w:tc>
          <w:tcPr>
            <w:tcW w:type="dxa" w:w="567"/>
          </w:tcPr>
          <w:p>
            <w:pPr>
              <w:spacing w:after="20" w:before="20"/>
            </w:pPr>
            <w:r/>
            <w:r>
              <w:rPr>
                <w:rFonts w:ascii="Arial" w:hAnsi="Arial"/>
                <w:b w:val="0"/>
                <w:sz w:val="15"/>
              </w:rPr>
              <w:t>3.3</w:t>
            </w:r>
          </w:p>
        </w:tc>
        <w:tc>
          <w:tcPr>
            <w:tcW w:type="dxa" w:w="1984"/>
          </w:tcPr>
          <w:p>
            <w:pPr>
              <w:spacing w:after="20" w:before="20"/>
            </w:pPr>
            <w:r/>
            <w:r>
              <w:rPr>
                <w:rFonts w:ascii="Arial" w:hAnsi="Arial"/>
                <w:b w:val="0"/>
                <w:sz w:val="15"/>
              </w:rPr>
              <w:t>Comptes et données formateurs</w:t>
            </w:r>
          </w:p>
        </w:tc>
        <w:tc>
          <w:tcPr>
            <w:tcW w:type="dxa" w:w="2608"/>
          </w:tcPr>
          <w:p>
            <w:pPr>
              <w:spacing w:after="20" w:before="20"/>
            </w:pPr>
            <w:r/>
            <w:r>
              <w:rPr>
                <w:rFonts w:ascii="Arial" w:hAnsi="Arial"/>
                <w:b w:val="0"/>
                <w:sz w:val="15"/>
              </w:rPr>
              <w:t>Annuaire et accès des 25 formateurs</w:t>
            </w:r>
          </w:p>
        </w:tc>
        <w:tc>
          <w:tcPr>
            <w:tcW w:type="dxa" w:w="1417"/>
          </w:tcPr>
          <w:p>
            <w:pPr>
              <w:spacing w:after="20" w:before="20"/>
            </w:pPr>
            <w:r/>
            <w:r>
              <w:rPr>
                <w:rFonts w:ascii="Arial" w:hAnsi="Arial"/>
                <w:b w:val="0"/>
                <w:sz w:val="15"/>
              </w:rPr>
              <w:t>Technicien informatique</w:t>
            </w:r>
          </w:p>
        </w:tc>
        <w:tc>
          <w:tcPr>
            <w:tcW w:type="dxa" w:w="624"/>
          </w:tcPr>
          <w:p>
            <w:pPr>
              <w:spacing w:after="20" w:before="20"/>
            </w:pPr>
            <w:r/>
            <w:r>
              <w:rPr>
                <w:rFonts w:ascii="Arial" w:hAnsi="Arial"/>
                <w:b w:val="0"/>
                <w:sz w:val="15"/>
              </w:rPr>
              <w:t>2 j</w:t>
            </w:r>
          </w:p>
        </w:tc>
        <w:tc>
          <w:tcPr>
            <w:tcW w:type="dxa" w:w="1474"/>
          </w:tcPr>
          <w:p>
            <w:pPr>
              <w:spacing w:after="20" w:before="20"/>
            </w:pPr>
            <w:r/>
            <w:r>
              <w:rPr>
                <w:rFonts w:ascii="Arial" w:hAnsi="Arial"/>
                <w:b w:val="0"/>
                <w:sz w:val="15"/>
              </w:rPr>
              <w:t>4 mai 2026</w:t>
            </w:r>
          </w:p>
          <w:p>
            <w:pPr>
              <w:spacing w:after="20"/>
            </w:pPr>
            <w:r>
              <w:rPr>
                <w:rFonts w:ascii="Arial" w:hAnsi="Arial"/>
                <w:b w:val="0"/>
                <w:sz w:val="15"/>
              </w:rPr>
              <w:t>à 15 mai 2026</w:t>
            </w:r>
          </w:p>
        </w:tc>
        <w:tc>
          <w:tcPr>
            <w:tcW w:type="dxa" w:w="1077"/>
          </w:tcPr>
          <w:p>
            <w:pPr>
              <w:spacing w:after="20" w:before="20"/>
            </w:pPr>
            <w:r/>
            <w:r>
              <w:rPr>
                <w:rFonts w:ascii="Arial" w:hAnsi="Arial"/>
                <w:b w:val="0"/>
                <w:sz w:val="15"/>
              </w:rPr>
              <w:t>3.2</w:t>
            </w:r>
          </w:p>
        </w:tc>
      </w:tr>
      <w:tr>
        <w:tc>
          <w:tcPr>
            <w:tcW w:type="dxa" w:w="567"/>
          </w:tcPr>
          <w:p>
            <w:pPr>
              <w:spacing w:after="20" w:before="20"/>
            </w:pPr>
            <w:r/>
            <w:r>
              <w:rPr>
                <w:rFonts w:ascii="Arial" w:hAnsi="Arial"/>
                <w:b w:val="0"/>
                <w:sz w:val="15"/>
              </w:rPr>
              <w:t>3.4</w:t>
            </w:r>
          </w:p>
        </w:tc>
        <w:tc>
          <w:tcPr>
            <w:tcW w:type="dxa" w:w="1984"/>
          </w:tcPr>
          <w:p>
            <w:pPr>
              <w:spacing w:after="20" w:before="20"/>
            </w:pPr>
            <w:r/>
            <w:r>
              <w:rPr>
                <w:rFonts w:ascii="Arial" w:hAnsi="Arial"/>
                <w:b w:val="0"/>
                <w:sz w:val="15"/>
              </w:rPr>
              <w:t>Recette fonctionnelle et retours d'usage</w:t>
            </w:r>
          </w:p>
        </w:tc>
        <w:tc>
          <w:tcPr>
            <w:tcW w:type="dxa" w:w="2608"/>
          </w:tcPr>
          <w:p>
            <w:pPr>
              <w:spacing w:after="20" w:before="20"/>
            </w:pPr>
            <w:r/>
            <w:r>
              <w:rPr>
                <w:rFonts w:ascii="Arial" w:hAnsi="Arial"/>
                <w:b w:val="0"/>
                <w:sz w:val="15"/>
              </w:rPr>
              <w:t>Recette validée, corrections identifiées</w:t>
            </w:r>
          </w:p>
        </w:tc>
        <w:tc>
          <w:tcPr>
            <w:tcW w:type="dxa" w:w="1417"/>
          </w:tcPr>
          <w:p>
            <w:pPr>
              <w:spacing w:after="20" w:before="20"/>
            </w:pPr>
            <w:r/>
            <w:r>
              <w:rPr>
                <w:rFonts w:ascii="Arial" w:hAnsi="Arial"/>
                <w:b w:val="0"/>
                <w:sz w:val="15"/>
              </w:rPr>
              <w:t>Responsable pédagogique</w:t>
            </w:r>
          </w:p>
        </w:tc>
        <w:tc>
          <w:tcPr>
            <w:tcW w:type="dxa" w:w="624"/>
          </w:tcPr>
          <w:p>
            <w:pPr>
              <w:spacing w:after="20" w:before="20"/>
            </w:pPr>
            <w:r/>
            <w:r>
              <w:rPr>
                <w:rFonts w:ascii="Arial" w:hAnsi="Arial"/>
                <w:b w:val="0"/>
                <w:sz w:val="15"/>
              </w:rPr>
              <w:t>2 j</w:t>
            </w:r>
          </w:p>
        </w:tc>
        <w:tc>
          <w:tcPr>
            <w:tcW w:type="dxa" w:w="1474"/>
          </w:tcPr>
          <w:p>
            <w:pPr>
              <w:spacing w:after="20" w:before="20"/>
            </w:pPr>
            <w:r/>
            <w:r>
              <w:rPr>
                <w:rFonts w:ascii="Arial" w:hAnsi="Arial"/>
                <w:b w:val="0"/>
                <w:sz w:val="15"/>
              </w:rPr>
              <w:t>18 mai 2026</w:t>
            </w:r>
          </w:p>
          <w:p>
            <w:pPr>
              <w:spacing w:after="20"/>
            </w:pPr>
            <w:r>
              <w:rPr>
                <w:rFonts w:ascii="Arial" w:hAnsi="Arial"/>
                <w:b w:val="0"/>
                <w:sz w:val="15"/>
              </w:rPr>
              <w:t>à 22 mai 2026</w:t>
            </w:r>
          </w:p>
        </w:tc>
        <w:tc>
          <w:tcPr>
            <w:tcW w:type="dxa" w:w="1077"/>
          </w:tcPr>
          <w:p>
            <w:pPr>
              <w:spacing w:after="20" w:before="20"/>
            </w:pPr>
            <w:r/>
            <w:r>
              <w:rPr>
                <w:rFonts w:ascii="Arial" w:hAnsi="Arial"/>
                <w:b w:val="0"/>
                <w:sz w:val="15"/>
              </w:rPr>
              <w:t>3.2</w:t>
            </w:r>
          </w:p>
        </w:tc>
      </w:tr>
      <w:tr>
        <w:tc>
          <w:tcPr>
            <w:tcW w:type="dxa" w:w="567"/>
          </w:tcPr>
          <w:p>
            <w:pPr>
              <w:spacing w:after="20" w:before="20"/>
            </w:pPr>
            <w:r/>
            <w:r>
              <w:rPr>
                <w:rFonts w:ascii="Arial" w:hAnsi="Arial"/>
                <w:b w:val="0"/>
                <w:sz w:val="15"/>
              </w:rPr>
              <w:t>3.5</w:t>
            </w:r>
          </w:p>
        </w:tc>
        <w:tc>
          <w:tcPr>
            <w:tcW w:type="dxa" w:w="1984"/>
          </w:tcPr>
          <w:p>
            <w:pPr>
              <w:spacing w:after="20" w:before="20"/>
            </w:pPr>
            <w:r/>
            <w:r>
              <w:rPr>
                <w:rFonts w:ascii="Arial" w:hAnsi="Arial"/>
                <w:b w:val="0"/>
                <w:sz w:val="15"/>
              </w:rPr>
              <w:t>Collecte des disponibilités et des compétences</w:t>
            </w:r>
          </w:p>
        </w:tc>
        <w:tc>
          <w:tcPr>
            <w:tcW w:type="dxa" w:w="2608"/>
          </w:tcPr>
          <w:p>
            <w:pPr>
              <w:spacing w:after="20" w:before="20"/>
            </w:pPr>
            <w:r/>
            <w:r>
              <w:rPr>
                <w:rFonts w:ascii="Arial" w:hAnsi="Arial"/>
                <w:b w:val="0"/>
                <w:sz w:val="15"/>
              </w:rPr>
              <w:t>Réponses de 95 % des formateurs consolidées</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5 j</w:t>
            </w:r>
          </w:p>
        </w:tc>
        <w:tc>
          <w:tcPr>
            <w:tcW w:type="dxa" w:w="1474"/>
          </w:tcPr>
          <w:p>
            <w:pPr>
              <w:spacing w:after="20" w:before="20"/>
            </w:pPr>
            <w:r/>
            <w:r>
              <w:rPr>
                <w:rFonts w:ascii="Arial" w:hAnsi="Arial"/>
                <w:b w:val="0"/>
                <w:sz w:val="15"/>
              </w:rPr>
              <w:t>6 avril 2026</w:t>
            </w:r>
          </w:p>
          <w:p>
            <w:pPr>
              <w:spacing w:after="20"/>
            </w:pPr>
            <w:r>
              <w:rPr>
                <w:rFonts w:ascii="Arial" w:hAnsi="Arial"/>
                <w:b w:val="0"/>
                <w:sz w:val="15"/>
              </w:rPr>
              <w:t>à 30 juin 2026</w:t>
            </w:r>
          </w:p>
        </w:tc>
        <w:tc>
          <w:tcPr>
            <w:tcW w:type="dxa" w:w="1077"/>
          </w:tcPr>
          <w:p>
            <w:pPr>
              <w:spacing w:after="20" w:before="20"/>
            </w:pPr>
            <w:r/>
            <w:r>
              <w:rPr>
                <w:rFonts w:ascii="Arial" w:hAnsi="Arial"/>
                <w:b w:val="0"/>
                <w:sz w:val="15"/>
              </w:rPr>
              <w:t>3.2</w:t>
            </w:r>
          </w:p>
        </w:tc>
      </w:tr>
      <w:tr>
        <w:tc>
          <w:tcPr>
            <w:tcW w:type="dxa" w:w="567"/>
          </w:tcPr>
          <w:p>
            <w:pPr>
              <w:spacing w:after="20" w:before="20"/>
            </w:pPr>
            <w:r/>
            <w:r>
              <w:rPr>
                <w:rFonts w:ascii="Arial" w:hAnsi="Arial"/>
                <w:b w:val="0"/>
                <w:sz w:val="15"/>
              </w:rPr>
              <w:t>3.6</w:t>
            </w:r>
          </w:p>
        </w:tc>
        <w:tc>
          <w:tcPr>
            <w:tcW w:type="dxa" w:w="1984"/>
          </w:tcPr>
          <w:p>
            <w:pPr>
              <w:spacing w:after="20" w:before="20"/>
            </w:pPr>
            <w:r/>
            <w:r>
              <w:rPr>
                <w:rFonts w:ascii="Arial" w:hAnsi="Arial"/>
                <w:b w:val="0"/>
                <w:sz w:val="15"/>
              </w:rPr>
              <w:t>Développement V2 : planification et appariement</w:t>
            </w:r>
          </w:p>
        </w:tc>
        <w:tc>
          <w:tcPr>
            <w:tcW w:type="dxa" w:w="2608"/>
          </w:tcPr>
          <w:p>
            <w:pPr>
              <w:spacing w:after="20" w:before="20"/>
            </w:pPr>
            <w:r/>
            <w:r>
              <w:rPr>
                <w:rFonts w:ascii="Arial" w:hAnsi="Arial"/>
                <w:b w:val="0"/>
                <w:sz w:val="15"/>
              </w:rPr>
              <w:t>Planification annuelle, appariement formateur/module</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11 j</w:t>
            </w:r>
          </w:p>
        </w:tc>
        <w:tc>
          <w:tcPr>
            <w:tcW w:type="dxa" w:w="1474"/>
          </w:tcPr>
          <w:p>
            <w:pPr>
              <w:spacing w:after="20" w:before="20"/>
            </w:pPr>
            <w:r/>
            <w:r>
              <w:rPr>
                <w:rFonts w:ascii="Arial" w:hAnsi="Arial"/>
                <w:b w:val="0"/>
                <w:sz w:val="15"/>
              </w:rPr>
              <w:t>1 juin 2026</w:t>
            </w:r>
          </w:p>
          <w:p>
            <w:pPr>
              <w:spacing w:after="20"/>
            </w:pPr>
            <w:r>
              <w:rPr>
                <w:rFonts w:ascii="Arial" w:hAnsi="Arial"/>
                <w:b w:val="0"/>
                <w:sz w:val="15"/>
              </w:rPr>
              <w:t>à 31 juil. 2026</w:t>
            </w:r>
          </w:p>
        </w:tc>
        <w:tc>
          <w:tcPr>
            <w:tcW w:type="dxa" w:w="1077"/>
          </w:tcPr>
          <w:p>
            <w:pPr>
              <w:spacing w:after="20" w:before="20"/>
            </w:pPr>
            <w:r/>
            <w:r>
              <w:rPr>
                <w:rFonts w:ascii="Arial" w:hAnsi="Arial"/>
                <w:b w:val="0"/>
                <w:sz w:val="15"/>
              </w:rPr>
              <w:t>3.4</w:t>
            </w:r>
          </w:p>
        </w:tc>
      </w:tr>
      <w:tr>
        <w:tc>
          <w:tcPr>
            <w:tcW w:type="dxa" w:w="567"/>
          </w:tcPr>
          <w:p>
            <w:pPr>
              <w:spacing w:after="20" w:before="20"/>
            </w:pPr>
            <w:r/>
            <w:r>
              <w:rPr>
                <w:rFonts w:ascii="Arial" w:hAnsi="Arial"/>
                <w:b w:val="0"/>
                <w:sz w:val="15"/>
              </w:rPr>
              <w:t>3.7</w:t>
            </w:r>
          </w:p>
        </w:tc>
        <w:tc>
          <w:tcPr>
            <w:tcW w:type="dxa" w:w="1984"/>
          </w:tcPr>
          <w:p>
            <w:pPr>
              <w:spacing w:after="20" w:before="20"/>
            </w:pPr>
            <w:r/>
            <w:r>
              <w:rPr>
                <w:rFonts w:ascii="Arial" w:hAnsi="Arial"/>
                <w:b w:val="0"/>
                <w:sz w:val="15"/>
              </w:rPr>
              <w:t>Mise en production consolidée</w:t>
            </w:r>
          </w:p>
        </w:tc>
        <w:tc>
          <w:tcPr>
            <w:tcW w:type="dxa" w:w="2608"/>
          </w:tcPr>
          <w:p>
            <w:pPr>
              <w:spacing w:after="20" w:before="20"/>
            </w:pPr>
            <w:r/>
            <w:r>
              <w:rPr>
                <w:rFonts w:ascii="Arial" w:hAnsi="Arial"/>
                <w:b w:val="0"/>
                <w:sz w:val="15"/>
              </w:rPr>
              <w:t>Application en production, fiches importées</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3 j</w:t>
            </w:r>
          </w:p>
        </w:tc>
        <w:tc>
          <w:tcPr>
            <w:tcW w:type="dxa" w:w="1474"/>
          </w:tcPr>
          <w:p>
            <w:pPr>
              <w:spacing w:after="20" w:before="20"/>
            </w:pPr>
            <w:r/>
            <w:r>
              <w:rPr>
                <w:rFonts w:ascii="Arial" w:hAnsi="Arial"/>
                <w:b w:val="0"/>
                <w:sz w:val="15"/>
              </w:rPr>
              <w:t>3 août 2026</w:t>
            </w:r>
          </w:p>
          <w:p>
            <w:pPr>
              <w:spacing w:after="20"/>
            </w:pPr>
            <w:r>
              <w:rPr>
                <w:rFonts w:ascii="Arial" w:hAnsi="Arial"/>
                <w:b w:val="0"/>
                <w:sz w:val="15"/>
              </w:rPr>
              <w:t>à 14 août 2026</w:t>
            </w:r>
          </w:p>
        </w:tc>
        <w:tc>
          <w:tcPr>
            <w:tcW w:type="dxa" w:w="1077"/>
          </w:tcPr>
          <w:p>
            <w:pPr>
              <w:spacing w:after="20" w:before="20"/>
            </w:pPr>
            <w:r/>
            <w:r>
              <w:rPr>
                <w:rFonts w:ascii="Arial" w:hAnsi="Arial"/>
                <w:b w:val="0"/>
                <w:sz w:val="15"/>
              </w:rPr>
              <w:t>3.6</w:t>
            </w:r>
          </w:p>
        </w:tc>
      </w:tr>
    </w:tbl>
    <w:p>
      <w:pPr>
        <w:spacing w:before="0" w:after="120"/>
      </w:pPr>
    </w:p>
    <w:p>
      <w:pPr>
        <w:spacing w:before="40" w:after="60"/>
      </w:pPr>
      <w:r>
        <w:rPr>
          <w:rFonts w:ascii="Arial" w:hAnsi="Arial"/>
          <w:b/>
          <w:i w:val="0"/>
          <w:color w:val="1F3864"/>
          <w:sz w:val="20"/>
        </w:rPr>
        <w:t>Lot 4 · Production documentaire        32 jours        22 juin 2026 à 14 août 2026</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1393"/>
        <w:gridCol w:w="1393"/>
        <w:gridCol w:w="1393"/>
        <w:gridCol w:w="1393"/>
        <w:gridCol w:w="1393"/>
        <w:gridCol w:w="1393"/>
        <w:gridCol w:w="1393"/>
      </w:tblGrid>
      <w:tr>
        <w:trPr>
          <w:tblHeader w:val="true"/>
        </w:trPr>
        <w:tc>
          <w:tcPr>
            <w:tcW w:type="dxa" w:w="567"/>
            <w:shd w:val="clear" w:fill="1F3864"/>
          </w:tcPr>
          <w:p>
            <w:pPr>
              <w:spacing w:after="20" w:before="20"/>
            </w:pPr>
            <w:r/>
            <w:r>
              <w:rPr>
                <w:rFonts w:ascii="Arial" w:hAnsi="Arial"/>
                <w:b/>
                <w:color w:val="FFFFFF"/>
                <w:sz w:val="15"/>
              </w:rPr>
              <w:t>ID</w:t>
            </w:r>
          </w:p>
        </w:tc>
        <w:tc>
          <w:tcPr>
            <w:tcW w:type="dxa" w:w="1984"/>
            <w:shd w:val="clear" w:fill="1F3864"/>
          </w:tcPr>
          <w:p>
            <w:pPr>
              <w:spacing w:after="20" w:before="20"/>
            </w:pPr>
            <w:r/>
            <w:r>
              <w:rPr>
                <w:rFonts w:ascii="Arial" w:hAnsi="Arial"/>
                <w:b/>
                <w:color w:val="FFFFFF"/>
                <w:sz w:val="15"/>
              </w:rPr>
              <w:t>Lot de travail</w:t>
            </w:r>
          </w:p>
        </w:tc>
        <w:tc>
          <w:tcPr>
            <w:tcW w:type="dxa" w:w="2608"/>
            <w:shd w:val="clear" w:fill="1F3864"/>
          </w:tcPr>
          <w:p>
            <w:pPr>
              <w:spacing w:after="20" w:before="20"/>
            </w:pPr>
            <w:r/>
            <w:r>
              <w:rPr>
                <w:rFonts w:ascii="Arial" w:hAnsi="Arial"/>
                <w:b/>
                <w:color w:val="FFFFFF"/>
                <w:sz w:val="15"/>
              </w:rPr>
              <w:t>Produit ou résultat attendu</w:t>
            </w:r>
          </w:p>
        </w:tc>
        <w:tc>
          <w:tcPr>
            <w:tcW w:type="dxa" w:w="1417"/>
            <w:shd w:val="clear" w:fill="1F3864"/>
          </w:tcPr>
          <w:p>
            <w:pPr>
              <w:spacing w:after="20" w:before="20"/>
            </w:pPr>
            <w:r/>
            <w:r>
              <w:rPr>
                <w:rFonts w:ascii="Arial" w:hAnsi="Arial"/>
                <w:b/>
                <w:color w:val="FFFFFF"/>
                <w:sz w:val="15"/>
              </w:rPr>
              <w:t>Pilote</w:t>
            </w:r>
          </w:p>
        </w:tc>
        <w:tc>
          <w:tcPr>
            <w:tcW w:type="dxa" w:w="624"/>
            <w:shd w:val="clear" w:fill="1F3864"/>
          </w:tcPr>
          <w:p>
            <w:pPr>
              <w:spacing w:after="20" w:before="20"/>
            </w:pPr>
            <w:r/>
            <w:r>
              <w:rPr>
                <w:rFonts w:ascii="Arial" w:hAnsi="Arial"/>
                <w:b/>
                <w:color w:val="FFFFFF"/>
                <w:sz w:val="15"/>
              </w:rPr>
              <w:t>Charge</w:t>
            </w:r>
          </w:p>
        </w:tc>
        <w:tc>
          <w:tcPr>
            <w:tcW w:type="dxa" w:w="1474"/>
            <w:shd w:val="clear" w:fill="1F3864"/>
          </w:tcPr>
          <w:p>
            <w:pPr>
              <w:spacing w:after="20" w:before="20"/>
            </w:pPr>
            <w:r/>
            <w:r>
              <w:rPr>
                <w:rFonts w:ascii="Arial" w:hAnsi="Arial"/>
                <w:b/>
                <w:color w:val="FFFFFF"/>
                <w:sz w:val="15"/>
              </w:rPr>
              <w:t>Période</w:t>
            </w:r>
          </w:p>
        </w:tc>
        <w:tc>
          <w:tcPr>
            <w:tcW w:type="dxa" w:w="1077"/>
            <w:shd w:val="clear" w:fill="1F3864"/>
          </w:tcPr>
          <w:p>
            <w:pPr>
              <w:spacing w:after="20" w:before="20"/>
            </w:pPr>
            <w:r/>
            <w:r>
              <w:rPr>
                <w:rFonts w:ascii="Arial" w:hAnsi="Arial"/>
                <w:b/>
                <w:color w:val="FFFFFF"/>
                <w:sz w:val="15"/>
              </w:rPr>
              <w:t>Dépend de</w:t>
            </w:r>
          </w:p>
        </w:tc>
      </w:tr>
      <w:tr>
        <w:tc>
          <w:tcPr>
            <w:tcW w:type="dxa" w:w="567"/>
          </w:tcPr>
          <w:p>
            <w:pPr>
              <w:spacing w:after="20" w:before="20"/>
            </w:pPr>
            <w:r/>
            <w:r>
              <w:rPr>
                <w:rFonts w:ascii="Arial" w:hAnsi="Arial"/>
                <w:b w:val="0"/>
                <w:sz w:val="15"/>
              </w:rPr>
              <w:t>4.1</w:t>
            </w:r>
          </w:p>
        </w:tc>
        <w:tc>
          <w:tcPr>
            <w:tcW w:type="dxa" w:w="1984"/>
          </w:tcPr>
          <w:p>
            <w:pPr>
              <w:spacing w:after="20" w:before="20"/>
            </w:pPr>
            <w:r/>
            <w:r>
              <w:rPr>
                <w:rFonts w:ascii="Arial" w:hAnsi="Arial"/>
                <w:b w:val="0"/>
                <w:sz w:val="15"/>
              </w:rPr>
              <w:t>Gabarit pilote et chaîne de production</w:t>
            </w:r>
          </w:p>
        </w:tc>
        <w:tc>
          <w:tcPr>
            <w:tcW w:type="dxa" w:w="2608"/>
          </w:tcPr>
          <w:p>
            <w:pPr>
              <w:spacing w:after="20" w:before="20"/>
            </w:pPr>
            <w:r/>
            <w:r>
              <w:rPr>
                <w:rFonts w:ascii="Arial" w:hAnsi="Arial"/>
                <w:b w:val="0"/>
                <w:sz w:val="15"/>
              </w:rPr>
              <w:t>Gabarit validé, chaîne outillée opérante</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4 j</w:t>
            </w:r>
          </w:p>
        </w:tc>
        <w:tc>
          <w:tcPr>
            <w:tcW w:type="dxa" w:w="1474"/>
          </w:tcPr>
          <w:p>
            <w:pPr>
              <w:spacing w:after="20" w:before="20"/>
            </w:pPr>
            <w:r/>
            <w:r>
              <w:rPr>
                <w:rFonts w:ascii="Arial" w:hAnsi="Arial"/>
                <w:b w:val="0"/>
                <w:sz w:val="15"/>
              </w:rPr>
              <w:t>22 juin 2026</w:t>
            </w:r>
          </w:p>
          <w:p>
            <w:pPr>
              <w:spacing w:after="20"/>
            </w:pPr>
            <w:r>
              <w:rPr>
                <w:rFonts w:ascii="Arial" w:hAnsi="Arial"/>
                <w:b w:val="0"/>
                <w:sz w:val="15"/>
              </w:rPr>
              <w:t>à 3 juil. 2026</w:t>
            </w:r>
          </w:p>
        </w:tc>
        <w:tc>
          <w:tcPr>
            <w:tcW w:type="dxa" w:w="1077"/>
          </w:tcPr>
          <w:p>
            <w:pPr>
              <w:spacing w:after="20" w:before="20"/>
            </w:pPr>
            <w:r/>
            <w:r>
              <w:rPr>
                <w:rFonts w:ascii="Arial" w:hAnsi="Arial"/>
                <w:b w:val="0"/>
                <w:sz w:val="15"/>
              </w:rPr>
              <w:t>2.10</w:t>
            </w:r>
          </w:p>
        </w:tc>
      </w:tr>
      <w:tr>
        <w:tc>
          <w:tcPr>
            <w:tcW w:type="dxa" w:w="567"/>
          </w:tcPr>
          <w:p>
            <w:pPr>
              <w:spacing w:after="20" w:before="20"/>
            </w:pPr>
            <w:r/>
            <w:r>
              <w:rPr>
                <w:rFonts w:ascii="Arial" w:hAnsi="Arial"/>
                <w:b w:val="0"/>
                <w:sz w:val="15"/>
              </w:rPr>
              <w:t>4.2</w:t>
            </w:r>
          </w:p>
        </w:tc>
        <w:tc>
          <w:tcPr>
            <w:tcW w:type="dxa" w:w="1984"/>
          </w:tcPr>
          <w:p>
            <w:pPr>
              <w:spacing w:after="20" w:before="20"/>
            </w:pPr>
            <w:r/>
            <w:r>
              <w:rPr>
                <w:rFonts w:ascii="Arial" w:hAnsi="Arial"/>
                <w:b w:val="0"/>
                <w:sz w:val="15"/>
              </w:rPr>
              <w:t>Fiches modules B1 Tronc Commun</w:t>
            </w:r>
          </w:p>
        </w:tc>
        <w:tc>
          <w:tcPr>
            <w:tcW w:type="dxa" w:w="2608"/>
          </w:tcPr>
          <w:p>
            <w:pPr>
              <w:spacing w:after="20" w:before="20"/>
            </w:pPr>
            <w:r/>
            <w:r>
              <w:rPr>
                <w:rFonts w:ascii="Arial" w:hAnsi="Arial"/>
                <w:b w:val="0"/>
                <w:sz w:val="15"/>
              </w:rPr>
              <w:t>Fiches modules du Tronc Commun</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8 j</w:t>
            </w:r>
          </w:p>
        </w:tc>
        <w:tc>
          <w:tcPr>
            <w:tcW w:type="dxa" w:w="1474"/>
          </w:tcPr>
          <w:p>
            <w:pPr>
              <w:spacing w:after="20" w:before="20"/>
            </w:pPr>
            <w:r/>
            <w:r>
              <w:rPr>
                <w:rFonts w:ascii="Arial" w:hAnsi="Arial"/>
                <w:b w:val="0"/>
                <w:sz w:val="15"/>
              </w:rPr>
              <w:t>6 juil. 2026</w:t>
            </w:r>
          </w:p>
          <w:p>
            <w:pPr>
              <w:spacing w:after="20"/>
            </w:pPr>
            <w:r>
              <w:rPr>
                <w:rFonts w:ascii="Arial" w:hAnsi="Arial"/>
                <w:b w:val="0"/>
                <w:sz w:val="15"/>
              </w:rPr>
              <w:t>à 24 juil. 2026</w:t>
            </w:r>
          </w:p>
        </w:tc>
        <w:tc>
          <w:tcPr>
            <w:tcW w:type="dxa" w:w="1077"/>
          </w:tcPr>
          <w:p>
            <w:pPr>
              <w:spacing w:after="20" w:before="20"/>
            </w:pPr>
            <w:r/>
            <w:r>
              <w:rPr>
                <w:rFonts w:ascii="Arial" w:hAnsi="Arial"/>
                <w:b w:val="0"/>
                <w:sz w:val="15"/>
              </w:rPr>
              <w:t>4.1</w:t>
            </w:r>
          </w:p>
        </w:tc>
      </w:tr>
      <w:tr>
        <w:tc>
          <w:tcPr>
            <w:tcW w:type="dxa" w:w="567"/>
          </w:tcPr>
          <w:p>
            <w:pPr>
              <w:spacing w:after="20" w:before="20"/>
            </w:pPr>
            <w:r/>
            <w:r>
              <w:rPr>
                <w:rFonts w:ascii="Arial" w:hAnsi="Arial"/>
                <w:b w:val="0"/>
                <w:sz w:val="15"/>
              </w:rPr>
              <w:t>4.3</w:t>
            </w:r>
          </w:p>
        </w:tc>
        <w:tc>
          <w:tcPr>
            <w:tcW w:type="dxa" w:w="1984"/>
          </w:tcPr>
          <w:p>
            <w:pPr>
              <w:spacing w:after="20" w:before="20"/>
            </w:pPr>
            <w:r/>
            <w:r>
              <w:rPr>
                <w:rFonts w:ascii="Arial" w:hAnsi="Arial"/>
                <w:b w:val="0"/>
                <w:sz w:val="15"/>
              </w:rPr>
              <w:t>Fiches modules B2 des deux filières</w:t>
            </w:r>
          </w:p>
        </w:tc>
        <w:tc>
          <w:tcPr>
            <w:tcW w:type="dxa" w:w="2608"/>
          </w:tcPr>
          <w:p>
            <w:pPr>
              <w:spacing w:after="20" w:before="20"/>
            </w:pPr>
            <w:r/>
            <w:r>
              <w:rPr>
                <w:rFonts w:ascii="Arial" w:hAnsi="Arial"/>
                <w:b w:val="0"/>
                <w:sz w:val="15"/>
              </w:rPr>
              <w:t>Fiches modules Full Stack et Cybersécurité</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9 j</w:t>
            </w:r>
          </w:p>
        </w:tc>
        <w:tc>
          <w:tcPr>
            <w:tcW w:type="dxa" w:w="1474"/>
          </w:tcPr>
          <w:p>
            <w:pPr>
              <w:spacing w:after="20" w:before="20"/>
            </w:pPr>
            <w:r/>
            <w:r>
              <w:rPr>
                <w:rFonts w:ascii="Arial" w:hAnsi="Arial"/>
                <w:b w:val="0"/>
                <w:sz w:val="15"/>
              </w:rPr>
              <w:t>13 juil. 2026</w:t>
            </w:r>
          </w:p>
          <w:p>
            <w:pPr>
              <w:spacing w:after="20"/>
            </w:pPr>
            <w:r>
              <w:rPr>
                <w:rFonts w:ascii="Arial" w:hAnsi="Arial"/>
                <w:b w:val="0"/>
                <w:sz w:val="15"/>
              </w:rPr>
              <w:t>à 7 août 2026</w:t>
            </w:r>
          </w:p>
        </w:tc>
        <w:tc>
          <w:tcPr>
            <w:tcW w:type="dxa" w:w="1077"/>
          </w:tcPr>
          <w:p>
            <w:pPr>
              <w:spacing w:after="20" w:before="20"/>
            </w:pPr>
            <w:r/>
            <w:r>
              <w:rPr>
                <w:rFonts w:ascii="Arial" w:hAnsi="Arial"/>
                <w:b w:val="0"/>
                <w:sz w:val="15"/>
              </w:rPr>
              <w:t>4.1</w:t>
            </w:r>
          </w:p>
        </w:tc>
      </w:tr>
      <w:tr>
        <w:tc>
          <w:tcPr>
            <w:tcW w:type="dxa" w:w="567"/>
          </w:tcPr>
          <w:p>
            <w:pPr>
              <w:spacing w:after="20" w:before="20"/>
            </w:pPr>
            <w:r/>
            <w:r>
              <w:rPr>
                <w:rFonts w:ascii="Arial" w:hAnsi="Arial"/>
                <w:b w:val="0"/>
                <w:sz w:val="15"/>
              </w:rPr>
              <w:t>4.4</w:t>
            </w:r>
          </w:p>
        </w:tc>
        <w:tc>
          <w:tcPr>
            <w:tcW w:type="dxa" w:w="1984"/>
          </w:tcPr>
          <w:p>
            <w:pPr>
              <w:spacing w:after="20" w:before="20"/>
            </w:pPr>
            <w:r/>
            <w:r>
              <w:rPr>
                <w:rFonts w:ascii="Arial" w:hAnsi="Arial"/>
                <w:b w:val="0"/>
                <w:sz w:val="15"/>
              </w:rPr>
              <w:t>Fiches projet fil rouge</w:t>
            </w:r>
          </w:p>
        </w:tc>
        <w:tc>
          <w:tcPr>
            <w:tcW w:type="dxa" w:w="2608"/>
          </w:tcPr>
          <w:p>
            <w:pPr>
              <w:spacing w:after="20" w:before="20"/>
            </w:pPr>
            <w:r/>
            <w:r>
              <w:rPr>
                <w:rFonts w:ascii="Arial" w:hAnsi="Arial"/>
                <w:b w:val="0"/>
                <w:sz w:val="15"/>
              </w:rPr>
              <w:t>Fiches projet fil rouge des trois parcours</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2 j</w:t>
            </w:r>
          </w:p>
        </w:tc>
        <w:tc>
          <w:tcPr>
            <w:tcW w:type="dxa" w:w="1474"/>
          </w:tcPr>
          <w:p>
            <w:pPr>
              <w:spacing w:after="20" w:before="20"/>
            </w:pPr>
            <w:r/>
            <w:r>
              <w:rPr>
                <w:rFonts w:ascii="Arial" w:hAnsi="Arial"/>
                <w:b w:val="0"/>
                <w:sz w:val="15"/>
              </w:rPr>
              <w:t>27 juil. 2026</w:t>
            </w:r>
          </w:p>
          <w:p>
            <w:pPr>
              <w:spacing w:after="20"/>
            </w:pPr>
            <w:r>
              <w:rPr>
                <w:rFonts w:ascii="Arial" w:hAnsi="Arial"/>
                <w:b w:val="0"/>
                <w:sz w:val="15"/>
              </w:rPr>
              <w:t>à 31 juil. 2026</w:t>
            </w:r>
          </w:p>
        </w:tc>
        <w:tc>
          <w:tcPr>
            <w:tcW w:type="dxa" w:w="1077"/>
          </w:tcPr>
          <w:p>
            <w:pPr>
              <w:spacing w:after="20" w:before="20"/>
            </w:pPr>
            <w:r/>
            <w:r>
              <w:rPr>
                <w:rFonts w:ascii="Arial" w:hAnsi="Arial"/>
                <w:b w:val="0"/>
                <w:sz w:val="15"/>
              </w:rPr>
              <w:t>4.2</w:t>
            </w:r>
          </w:p>
        </w:tc>
      </w:tr>
      <w:tr>
        <w:tc>
          <w:tcPr>
            <w:tcW w:type="dxa" w:w="567"/>
          </w:tcPr>
          <w:p>
            <w:pPr>
              <w:spacing w:after="20" w:before="20"/>
            </w:pPr>
            <w:r/>
            <w:r>
              <w:rPr>
                <w:rFonts w:ascii="Arial" w:hAnsi="Arial"/>
                <w:b w:val="0"/>
                <w:sz w:val="15"/>
              </w:rPr>
              <w:t>4.5</w:t>
            </w:r>
          </w:p>
        </w:tc>
        <w:tc>
          <w:tcPr>
            <w:tcW w:type="dxa" w:w="1984"/>
          </w:tcPr>
          <w:p>
            <w:pPr>
              <w:spacing w:after="20" w:before="20"/>
            </w:pPr>
            <w:r/>
            <w:r>
              <w:rPr>
                <w:rFonts w:ascii="Arial" w:hAnsi="Arial"/>
                <w:b w:val="0"/>
                <w:sz w:val="15"/>
              </w:rPr>
              <w:t>Relecture croisée par les formateurs</w:t>
            </w:r>
          </w:p>
        </w:tc>
        <w:tc>
          <w:tcPr>
            <w:tcW w:type="dxa" w:w="2608"/>
          </w:tcPr>
          <w:p>
            <w:pPr>
              <w:spacing w:after="20" w:before="20"/>
            </w:pPr>
            <w:r/>
            <w:r>
              <w:rPr>
                <w:rFonts w:ascii="Arial" w:hAnsi="Arial"/>
                <w:b w:val="0"/>
                <w:sz w:val="15"/>
              </w:rPr>
              <w:t>Retours de relecture intégrés</w:t>
            </w:r>
          </w:p>
        </w:tc>
        <w:tc>
          <w:tcPr>
            <w:tcW w:type="dxa" w:w="1417"/>
          </w:tcPr>
          <w:p>
            <w:pPr>
              <w:spacing w:after="20" w:before="20"/>
            </w:pPr>
            <w:r/>
            <w:r>
              <w:rPr>
                <w:rFonts w:ascii="Arial" w:hAnsi="Arial"/>
                <w:b w:val="0"/>
                <w:sz w:val="15"/>
              </w:rPr>
              <w:t>Formateurs</w:t>
            </w:r>
          </w:p>
        </w:tc>
        <w:tc>
          <w:tcPr>
            <w:tcW w:type="dxa" w:w="624"/>
          </w:tcPr>
          <w:p>
            <w:pPr>
              <w:spacing w:after="20" w:before="20"/>
            </w:pPr>
            <w:r/>
            <w:r>
              <w:rPr>
                <w:rFonts w:ascii="Arial" w:hAnsi="Arial"/>
                <w:b w:val="0"/>
                <w:sz w:val="15"/>
              </w:rPr>
              <w:t>3 j</w:t>
            </w:r>
          </w:p>
        </w:tc>
        <w:tc>
          <w:tcPr>
            <w:tcW w:type="dxa" w:w="1474"/>
          </w:tcPr>
          <w:p>
            <w:pPr>
              <w:spacing w:after="20" w:before="20"/>
            </w:pPr>
            <w:r/>
            <w:r>
              <w:rPr>
                <w:rFonts w:ascii="Arial" w:hAnsi="Arial"/>
                <w:b w:val="0"/>
                <w:sz w:val="15"/>
              </w:rPr>
              <w:t>20 juil. 2026</w:t>
            </w:r>
          </w:p>
          <w:p>
            <w:pPr>
              <w:spacing w:after="20"/>
            </w:pPr>
            <w:r>
              <w:rPr>
                <w:rFonts w:ascii="Arial" w:hAnsi="Arial"/>
                <w:b w:val="0"/>
                <w:sz w:val="15"/>
              </w:rPr>
              <w:t>à 7 août 2026</w:t>
            </w:r>
          </w:p>
        </w:tc>
        <w:tc>
          <w:tcPr>
            <w:tcW w:type="dxa" w:w="1077"/>
          </w:tcPr>
          <w:p>
            <w:pPr>
              <w:spacing w:after="20" w:before="20"/>
            </w:pPr>
            <w:r/>
            <w:r>
              <w:rPr>
                <w:rFonts w:ascii="Arial" w:hAnsi="Arial"/>
                <w:b w:val="0"/>
                <w:sz w:val="15"/>
              </w:rPr>
              <w:t>4.2</w:t>
            </w:r>
          </w:p>
        </w:tc>
      </w:tr>
      <w:tr>
        <w:tc>
          <w:tcPr>
            <w:tcW w:type="dxa" w:w="567"/>
          </w:tcPr>
          <w:p>
            <w:pPr>
              <w:spacing w:after="20" w:before="20"/>
            </w:pPr>
            <w:r/>
            <w:r>
              <w:rPr>
                <w:rFonts w:ascii="Arial" w:hAnsi="Arial"/>
                <w:b w:val="0"/>
                <w:sz w:val="15"/>
              </w:rPr>
              <w:t>4.6</w:t>
            </w:r>
          </w:p>
        </w:tc>
        <w:tc>
          <w:tcPr>
            <w:tcW w:type="dxa" w:w="1984"/>
          </w:tcPr>
          <w:p>
            <w:pPr>
              <w:spacing w:after="20" w:before="20"/>
            </w:pPr>
            <w:r/>
            <w:r>
              <w:rPr>
                <w:rFonts w:ascii="Arial" w:hAnsi="Arial"/>
                <w:b w:val="0"/>
                <w:sz w:val="15"/>
              </w:rPr>
              <w:t>Contrôles qualité et appariement fiche/module</w:t>
            </w:r>
          </w:p>
        </w:tc>
        <w:tc>
          <w:tcPr>
            <w:tcW w:type="dxa" w:w="2608"/>
          </w:tcPr>
          <w:p>
            <w:pPr>
              <w:spacing w:after="20" w:before="20"/>
            </w:pPr>
            <w:r/>
            <w:r>
              <w:rPr>
                <w:rFonts w:ascii="Arial" w:hAnsi="Arial"/>
                <w:b w:val="0"/>
                <w:sz w:val="15"/>
              </w:rPr>
              <w:t>Rapport de contrôle, appariement exhaustif</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2 j</w:t>
            </w:r>
          </w:p>
        </w:tc>
        <w:tc>
          <w:tcPr>
            <w:tcW w:type="dxa" w:w="1474"/>
          </w:tcPr>
          <w:p>
            <w:pPr>
              <w:spacing w:after="20" w:before="20"/>
            </w:pPr>
            <w:r/>
            <w:r>
              <w:rPr>
                <w:rFonts w:ascii="Arial" w:hAnsi="Arial"/>
                <w:b w:val="0"/>
                <w:sz w:val="15"/>
              </w:rPr>
              <w:t>3 août 2026</w:t>
            </w:r>
          </w:p>
          <w:p>
            <w:pPr>
              <w:spacing w:after="20"/>
            </w:pPr>
            <w:r>
              <w:rPr>
                <w:rFonts w:ascii="Arial" w:hAnsi="Arial"/>
                <w:b w:val="0"/>
                <w:sz w:val="15"/>
              </w:rPr>
              <w:t>à 12 août 2026</w:t>
            </w:r>
          </w:p>
        </w:tc>
        <w:tc>
          <w:tcPr>
            <w:tcW w:type="dxa" w:w="1077"/>
          </w:tcPr>
          <w:p>
            <w:pPr>
              <w:spacing w:after="20" w:before="20"/>
            </w:pPr>
            <w:r/>
            <w:r>
              <w:rPr>
                <w:rFonts w:ascii="Arial" w:hAnsi="Arial"/>
                <w:b w:val="0"/>
                <w:sz w:val="15"/>
              </w:rPr>
              <w:t>4.3</w:t>
            </w:r>
          </w:p>
        </w:tc>
      </w:tr>
      <w:tr>
        <w:tc>
          <w:tcPr>
            <w:tcW w:type="dxa" w:w="567"/>
          </w:tcPr>
          <w:p>
            <w:pPr>
              <w:spacing w:after="20" w:before="20"/>
            </w:pPr>
            <w:r/>
            <w:r>
              <w:rPr>
                <w:rFonts w:ascii="Arial" w:hAnsi="Arial"/>
                <w:b w:val="0"/>
                <w:sz w:val="15"/>
              </w:rPr>
              <w:t>4.7</w:t>
            </w:r>
          </w:p>
        </w:tc>
        <w:tc>
          <w:tcPr>
            <w:tcW w:type="dxa" w:w="1984"/>
          </w:tcPr>
          <w:p>
            <w:pPr>
              <w:spacing w:after="20" w:before="20"/>
            </w:pPr>
            <w:r/>
            <w:r>
              <w:rPr>
                <w:rFonts w:ascii="Arial" w:hAnsi="Arial"/>
                <w:b w:val="0"/>
                <w:sz w:val="15"/>
              </w:rPr>
              <w:t>Plannings annuels et rubans pédagogiques</w:t>
            </w:r>
          </w:p>
        </w:tc>
        <w:tc>
          <w:tcPr>
            <w:tcW w:type="dxa" w:w="2608"/>
          </w:tcPr>
          <w:p>
            <w:pPr>
              <w:spacing w:after="20" w:before="20"/>
            </w:pPr>
            <w:r/>
            <w:r>
              <w:rPr>
                <w:rFonts w:ascii="Arial" w:hAnsi="Arial"/>
                <w:b w:val="0"/>
                <w:sz w:val="15"/>
              </w:rPr>
              <w:t>Plannings 2026-2027 et rubans visuels</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3 j</w:t>
            </w:r>
          </w:p>
        </w:tc>
        <w:tc>
          <w:tcPr>
            <w:tcW w:type="dxa" w:w="1474"/>
          </w:tcPr>
          <w:p>
            <w:pPr>
              <w:spacing w:after="20" w:before="20"/>
            </w:pPr>
            <w:r/>
            <w:r>
              <w:rPr>
                <w:rFonts w:ascii="Arial" w:hAnsi="Arial"/>
                <w:b w:val="0"/>
                <w:sz w:val="15"/>
              </w:rPr>
              <w:t>6 juil. 2026</w:t>
            </w:r>
          </w:p>
          <w:p>
            <w:pPr>
              <w:spacing w:after="20"/>
            </w:pPr>
            <w:r>
              <w:rPr>
                <w:rFonts w:ascii="Arial" w:hAnsi="Arial"/>
                <w:b w:val="0"/>
                <w:sz w:val="15"/>
              </w:rPr>
              <w:t>à 31 juil. 2026</w:t>
            </w:r>
          </w:p>
        </w:tc>
        <w:tc>
          <w:tcPr>
            <w:tcW w:type="dxa" w:w="1077"/>
          </w:tcPr>
          <w:p>
            <w:pPr>
              <w:spacing w:after="20" w:before="20"/>
            </w:pPr>
            <w:r/>
            <w:r>
              <w:rPr>
                <w:rFonts w:ascii="Arial" w:hAnsi="Arial"/>
                <w:b w:val="0"/>
                <w:sz w:val="15"/>
              </w:rPr>
              <w:t>2.7</w:t>
            </w:r>
          </w:p>
        </w:tc>
      </w:tr>
      <w:tr>
        <w:tc>
          <w:tcPr>
            <w:tcW w:type="dxa" w:w="567"/>
          </w:tcPr>
          <w:p>
            <w:pPr>
              <w:spacing w:after="20" w:before="20"/>
            </w:pPr>
            <w:r/>
            <w:r>
              <w:rPr>
                <w:rFonts w:ascii="Arial" w:hAnsi="Arial"/>
                <w:b w:val="0"/>
                <w:sz w:val="15"/>
              </w:rPr>
              <w:t>4.8</w:t>
            </w:r>
          </w:p>
        </w:tc>
        <w:tc>
          <w:tcPr>
            <w:tcW w:type="dxa" w:w="1984"/>
          </w:tcPr>
          <w:p>
            <w:pPr>
              <w:spacing w:after="20" w:before="20"/>
            </w:pPr>
            <w:r/>
            <w:r>
              <w:rPr>
                <w:rFonts w:ascii="Arial" w:hAnsi="Arial"/>
                <w:b w:val="0"/>
                <w:sz w:val="15"/>
              </w:rPr>
              <w:t>Pack de preuves qualité, volet pédagogique</w:t>
            </w:r>
          </w:p>
        </w:tc>
        <w:tc>
          <w:tcPr>
            <w:tcW w:type="dxa" w:w="2608"/>
          </w:tcPr>
          <w:p>
            <w:pPr>
              <w:spacing w:after="20" w:before="20"/>
            </w:pPr>
            <w:r/>
            <w:r>
              <w:rPr>
                <w:rFonts w:ascii="Arial" w:hAnsi="Arial"/>
                <w:b w:val="0"/>
                <w:sz w:val="15"/>
              </w:rPr>
              <w:t>Pack de preuves pédagogiques</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1 j</w:t>
            </w:r>
          </w:p>
        </w:tc>
        <w:tc>
          <w:tcPr>
            <w:tcW w:type="dxa" w:w="1474"/>
          </w:tcPr>
          <w:p>
            <w:pPr>
              <w:spacing w:after="20" w:before="20"/>
            </w:pPr>
            <w:r/>
            <w:r>
              <w:rPr>
                <w:rFonts w:ascii="Arial" w:hAnsi="Arial"/>
                <w:b w:val="0"/>
                <w:sz w:val="15"/>
              </w:rPr>
              <w:t>10 août 2026</w:t>
            </w:r>
          </w:p>
          <w:p>
            <w:pPr>
              <w:spacing w:after="20"/>
            </w:pPr>
            <w:r>
              <w:rPr>
                <w:rFonts w:ascii="Arial" w:hAnsi="Arial"/>
                <w:b w:val="0"/>
                <w:sz w:val="15"/>
              </w:rPr>
              <w:t>à 14 août 2026</w:t>
            </w:r>
          </w:p>
        </w:tc>
        <w:tc>
          <w:tcPr>
            <w:tcW w:type="dxa" w:w="1077"/>
          </w:tcPr>
          <w:p>
            <w:pPr>
              <w:spacing w:after="20" w:before="20"/>
            </w:pPr>
            <w:r/>
            <w:r>
              <w:rPr>
                <w:rFonts w:ascii="Arial" w:hAnsi="Arial"/>
                <w:b w:val="0"/>
                <w:sz w:val="15"/>
              </w:rPr>
              <w:t>4.6</w:t>
            </w:r>
          </w:p>
        </w:tc>
      </w:tr>
    </w:tbl>
    <w:p>
      <w:pPr>
        <w:spacing w:before="0" w:after="120"/>
      </w:pPr>
    </w:p>
    <w:p>
      <w:pPr>
        <w:spacing w:before="40" w:after="60"/>
      </w:pPr>
      <w:r>
        <w:rPr>
          <w:rFonts w:ascii="Arial" w:hAnsi="Arial"/>
          <w:b/>
          <w:i w:val="0"/>
          <w:color w:val="1F3864"/>
          <w:sz w:val="20"/>
        </w:rPr>
        <w:t>Lot 5 · Pilotage et communication        18 jours        15 déc. 2025 à 14 août 2026</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1393"/>
        <w:gridCol w:w="1393"/>
        <w:gridCol w:w="1393"/>
        <w:gridCol w:w="1393"/>
        <w:gridCol w:w="1393"/>
        <w:gridCol w:w="1393"/>
        <w:gridCol w:w="1393"/>
      </w:tblGrid>
      <w:tr>
        <w:trPr>
          <w:tblHeader w:val="true"/>
        </w:trPr>
        <w:tc>
          <w:tcPr>
            <w:tcW w:type="dxa" w:w="567"/>
            <w:shd w:val="clear" w:fill="1F3864"/>
          </w:tcPr>
          <w:p>
            <w:pPr>
              <w:spacing w:after="20" w:before="20"/>
            </w:pPr>
            <w:r/>
            <w:r>
              <w:rPr>
                <w:rFonts w:ascii="Arial" w:hAnsi="Arial"/>
                <w:b/>
                <w:color w:val="FFFFFF"/>
                <w:sz w:val="15"/>
              </w:rPr>
              <w:t>ID</w:t>
            </w:r>
          </w:p>
        </w:tc>
        <w:tc>
          <w:tcPr>
            <w:tcW w:type="dxa" w:w="1984"/>
            <w:shd w:val="clear" w:fill="1F3864"/>
          </w:tcPr>
          <w:p>
            <w:pPr>
              <w:spacing w:after="20" w:before="20"/>
            </w:pPr>
            <w:r/>
            <w:r>
              <w:rPr>
                <w:rFonts w:ascii="Arial" w:hAnsi="Arial"/>
                <w:b/>
                <w:color w:val="FFFFFF"/>
                <w:sz w:val="15"/>
              </w:rPr>
              <w:t>Lot de travail</w:t>
            </w:r>
          </w:p>
        </w:tc>
        <w:tc>
          <w:tcPr>
            <w:tcW w:type="dxa" w:w="2608"/>
            <w:shd w:val="clear" w:fill="1F3864"/>
          </w:tcPr>
          <w:p>
            <w:pPr>
              <w:spacing w:after="20" w:before="20"/>
            </w:pPr>
            <w:r/>
            <w:r>
              <w:rPr>
                <w:rFonts w:ascii="Arial" w:hAnsi="Arial"/>
                <w:b/>
                <w:color w:val="FFFFFF"/>
                <w:sz w:val="15"/>
              </w:rPr>
              <w:t>Produit ou résultat attendu</w:t>
            </w:r>
          </w:p>
        </w:tc>
        <w:tc>
          <w:tcPr>
            <w:tcW w:type="dxa" w:w="1417"/>
            <w:shd w:val="clear" w:fill="1F3864"/>
          </w:tcPr>
          <w:p>
            <w:pPr>
              <w:spacing w:after="20" w:before="20"/>
            </w:pPr>
            <w:r/>
            <w:r>
              <w:rPr>
                <w:rFonts w:ascii="Arial" w:hAnsi="Arial"/>
                <w:b/>
                <w:color w:val="FFFFFF"/>
                <w:sz w:val="15"/>
              </w:rPr>
              <w:t>Pilote</w:t>
            </w:r>
          </w:p>
        </w:tc>
        <w:tc>
          <w:tcPr>
            <w:tcW w:type="dxa" w:w="624"/>
            <w:shd w:val="clear" w:fill="1F3864"/>
          </w:tcPr>
          <w:p>
            <w:pPr>
              <w:spacing w:after="20" w:before="20"/>
            </w:pPr>
            <w:r/>
            <w:r>
              <w:rPr>
                <w:rFonts w:ascii="Arial" w:hAnsi="Arial"/>
                <w:b/>
                <w:color w:val="FFFFFF"/>
                <w:sz w:val="15"/>
              </w:rPr>
              <w:t>Charge</w:t>
            </w:r>
          </w:p>
        </w:tc>
        <w:tc>
          <w:tcPr>
            <w:tcW w:type="dxa" w:w="1474"/>
            <w:shd w:val="clear" w:fill="1F3864"/>
          </w:tcPr>
          <w:p>
            <w:pPr>
              <w:spacing w:after="20" w:before="20"/>
            </w:pPr>
            <w:r/>
            <w:r>
              <w:rPr>
                <w:rFonts w:ascii="Arial" w:hAnsi="Arial"/>
                <w:b/>
                <w:color w:val="FFFFFF"/>
                <w:sz w:val="15"/>
              </w:rPr>
              <w:t>Période</w:t>
            </w:r>
          </w:p>
        </w:tc>
        <w:tc>
          <w:tcPr>
            <w:tcW w:type="dxa" w:w="1077"/>
            <w:shd w:val="clear" w:fill="1F3864"/>
          </w:tcPr>
          <w:p>
            <w:pPr>
              <w:spacing w:after="20" w:before="20"/>
            </w:pPr>
            <w:r/>
            <w:r>
              <w:rPr>
                <w:rFonts w:ascii="Arial" w:hAnsi="Arial"/>
                <w:b/>
                <w:color w:val="FFFFFF"/>
                <w:sz w:val="15"/>
              </w:rPr>
              <w:t>Dépend de</w:t>
            </w:r>
          </w:p>
        </w:tc>
      </w:tr>
      <w:tr>
        <w:tc>
          <w:tcPr>
            <w:tcW w:type="dxa" w:w="567"/>
          </w:tcPr>
          <w:p>
            <w:pPr>
              <w:spacing w:after="20" w:before="20"/>
            </w:pPr>
            <w:r/>
            <w:r>
              <w:rPr>
                <w:rFonts w:ascii="Arial" w:hAnsi="Arial"/>
                <w:b w:val="0"/>
                <w:sz w:val="15"/>
              </w:rPr>
              <w:t>5.1</w:t>
            </w:r>
          </w:p>
        </w:tc>
        <w:tc>
          <w:tcPr>
            <w:tcW w:type="dxa" w:w="1984"/>
          </w:tcPr>
          <w:p>
            <w:pPr>
              <w:spacing w:after="20" w:before="20"/>
            </w:pPr>
            <w:r/>
            <w:r>
              <w:rPr>
                <w:rFonts w:ascii="Arial" w:hAnsi="Arial"/>
                <w:b w:val="0"/>
                <w:sz w:val="15"/>
              </w:rPr>
              <w:t>Points hebdomadaires avec la responsable pédagogique</w:t>
            </w:r>
          </w:p>
        </w:tc>
        <w:tc>
          <w:tcPr>
            <w:tcW w:type="dxa" w:w="2608"/>
          </w:tcPr>
          <w:p>
            <w:pPr>
              <w:spacing w:after="20" w:before="20"/>
            </w:pPr>
            <w:r/>
            <w:r>
              <w:rPr>
                <w:rFonts w:ascii="Arial" w:hAnsi="Arial"/>
                <w:b w:val="0"/>
                <w:sz w:val="15"/>
              </w:rPr>
              <w:t>Décisions tracées au fil de l'eau</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7 j</w:t>
            </w:r>
          </w:p>
        </w:tc>
        <w:tc>
          <w:tcPr>
            <w:tcW w:type="dxa" w:w="1474"/>
          </w:tcPr>
          <w:p>
            <w:pPr>
              <w:spacing w:after="20" w:before="20"/>
            </w:pPr>
            <w:r/>
            <w:r>
              <w:rPr>
                <w:rFonts w:ascii="Arial" w:hAnsi="Arial"/>
                <w:b w:val="0"/>
                <w:sz w:val="15"/>
              </w:rPr>
              <w:t>15 déc. 2025</w:t>
            </w:r>
          </w:p>
          <w:p>
            <w:pPr>
              <w:spacing w:after="20"/>
            </w:pPr>
            <w:r>
              <w:rPr>
                <w:rFonts w:ascii="Arial" w:hAnsi="Arial"/>
                <w:b w:val="0"/>
                <w:sz w:val="15"/>
              </w:rPr>
              <w:t>à 14 août 2026</w:t>
            </w:r>
          </w:p>
        </w:tc>
        <w:tc>
          <w:tcPr>
            <w:tcW w:type="dxa" w:w="1077"/>
          </w:tcPr>
          <w:p>
            <w:pPr>
              <w:spacing w:after="20" w:before="20"/>
            </w:pPr>
            <w:r/>
            <w:r>
              <w:rPr>
                <w:rFonts w:ascii="Arial" w:hAnsi="Arial"/>
                <w:b w:val="0"/>
                <w:sz w:val="15"/>
              </w:rPr>
              <w:t>aucune</w:t>
            </w:r>
          </w:p>
        </w:tc>
      </w:tr>
      <w:tr>
        <w:tc>
          <w:tcPr>
            <w:tcW w:type="dxa" w:w="567"/>
          </w:tcPr>
          <w:p>
            <w:pPr>
              <w:spacing w:after="20" w:before="20"/>
            </w:pPr>
            <w:r/>
            <w:r>
              <w:rPr>
                <w:rFonts w:ascii="Arial" w:hAnsi="Arial"/>
                <w:b w:val="0"/>
                <w:sz w:val="15"/>
              </w:rPr>
              <w:t>5.2</w:t>
            </w:r>
          </w:p>
        </w:tc>
        <w:tc>
          <w:tcPr>
            <w:tcW w:type="dxa" w:w="1984"/>
          </w:tcPr>
          <w:p>
            <w:pPr>
              <w:spacing w:after="20" w:before="20"/>
            </w:pPr>
            <w:r/>
            <w:r>
              <w:rPr>
                <w:rFonts w:ascii="Arial" w:hAnsi="Arial"/>
                <w:b w:val="0"/>
                <w:sz w:val="15"/>
              </w:rPr>
              <w:t>Comités pédagogiques mensuels</w:t>
            </w:r>
          </w:p>
        </w:tc>
        <w:tc>
          <w:tcPr>
            <w:tcW w:type="dxa" w:w="2608"/>
          </w:tcPr>
          <w:p>
            <w:pPr>
              <w:spacing w:after="20" w:before="20"/>
            </w:pPr>
            <w:r/>
            <w:r>
              <w:rPr>
                <w:rFonts w:ascii="Arial" w:hAnsi="Arial"/>
                <w:b w:val="0"/>
                <w:sz w:val="15"/>
              </w:rPr>
              <w:t>Comptes rendus et tableau de suivi</w:t>
            </w:r>
          </w:p>
        </w:tc>
        <w:tc>
          <w:tcPr>
            <w:tcW w:type="dxa" w:w="1417"/>
          </w:tcPr>
          <w:p>
            <w:pPr>
              <w:spacing w:after="20" w:before="20"/>
            </w:pPr>
            <w:r/>
            <w:r>
              <w:rPr>
                <w:rFonts w:ascii="Arial" w:hAnsi="Arial"/>
                <w:b w:val="0"/>
                <w:sz w:val="15"/>
              </w:rPr>
              <w:t>Responsable pédagogique</w:t>
            </w:r>
          </w:p>
        </w:tc>
        <w:tc>
          <w:tcPr>
            <w:tcW w:type="dxa" w:w="624"/>
          </w:tcPr>
          <w:p>
            <w:pPr>
              <w:spacing w:after="20" w:before="20"/>
            </w:pPr>
            <w:r/>
            <w:r>
              <w:rPr>
                <w:rFonts w:ascii="Arial" w:hAnsi="Arial"/>
                <w:b w:val="0"/>
                <w:sz w:val="15"/>
              </w:rPr>
              <w:t>4 j</w:t>
            </w:r>
          </w:p>
        </w:tc>
        <w:tc>
          <w:tcPr>
            <w:tcW w:type="dxa" w:w="1474"/>
          </w:tcPr>
          <w:p>
            <w:pPr>
              <w:spacing w:after="20" w:before="20"/>
            </w:pPr>
            <w:r/>
            <w:r>
              <w:rPr>
                <w:rFonts w:ascii="Arial" w:hAnsi="Arial"/>
                <w:b w:val="0"/>
                <w:sz w:val="15"/>
              </w:rPr>
              <w:t>6 avril 2026</w:t>
            </w:r>
          </w:p>
          <w:p>
            <w:pPr>
              <w:spacing w:after="20"/>
            </w:pPr>
            <w:r>
              <w:rPr>
                <w:rFonts w:ascii="Arial" w:hAnsi="Arial"/>
                <w:b w:val="0"/>
                <w:sz w:val="15"/>
              </w:rPr>
              <w:t>à 14 août 2026</w:t>
            </w:r>
          </w:p>
        </w:tc>
        <w:tc>
          <w:tcPr>
            <w:tcW w:type="dxa" w:w="1077"/>
          </w:tcPr>
          <w:p>
            <w:pPr>
              <w:spacing w:after="20" w:before="20"/>
            </w:pPr>
            <w:r/>
            <w:r>
              <w:rPr>
                <w:rFonts w:ascii="Arial" w:hAnsi="Arial"/>
                <w:b w:val="0"/>
                <w:sz w:val="15"/>
              </w:rPr>
              <w:t>aucune</w:t>
            </w:r>
          </w:p>
        </w:tc>
      </w:tr>
      <w:tr>
        <w:tc>
          <w:tcPr>
            <w:tcW w:type="dxa" w:w="567"/>
          </w:tcPr>
          <w:p>
            <w:pPr>
              <w:spacing w:after="20" w:before="20"/>
            </w:pPr>
            <w:r/>
            <w:r>
              <w:rPr>
                <w:rFonts w:ascii="Arial" w:hAnsi="Arial"/>
                <w:b w:val="0"/>
                <w:sz w:val="15"/>
              </w:rPr>
              <w:t>5.3</w:t>
            </w:r>
          </w:p>
        </w:tc>
        <w:tc>
          <w:tcPr>
            <w:tcW w:type="dxa" w:w="1984"/>
          </w:tcPr>
          <w:p>
            <w:pPr>
              <w:spacing w:after="20" w:before="20"/>
            </w:pPr>
            <w:r/>
            <w:r>
              <w:rPr>
                <w:rFonts w:ascii="Arial" w:hAnsi="Arial"/>
                <w:b w:val="0"/>
                <w:sz w:val="15"/>
              </w:rPr>
              <w:t>Comités de pilotage aux jalons</w:t>
            </w:r>
          </w:p>
        </w:tc>
        <w:tc>
          <w:tcPr>
            <w:tcW w:type="dxa" w:w="2608"/>
          </w:tcPr>
          <w:p>
            <w:pPr>
              <w:spacing w:after="20" w:before="20"/>
            </w:pPr>
            <w:r/>
            <w:r>
              <w:rPr>
                <w:rFonts w:ascii="Arial" w:hAnsi="Arial"/>
                <w:b w:val="0"/>
                <w:sz w:val="15"/>
              </w:rPr>
              <w:t>Décisions de jalon, arbitrages de la direction</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2 j</w:t>
            </w:r>
          </w:p>
        </w:tc>
        <w:tc>
          <w:tcPr>
            <w:tcW w:type="dxa" w:w="1474"/>
          </w:tcPr>
          <w:p>
            <w:pPr>
              <w:spacing w:after="20" w:before="20"/>
            </w:pPr>
            <w:r/>
            <w:r>
              <w:rPr>
                <w:rFonts w:ascii="Arial" w:hAnsi="Arial"/>
                <w:b w:val="0"/>
                <w:sz w:val="15"/>
              </w:rPr>
              <w:t>15 déc. 2025</w:t>
            </w:r>
          </w:p>
          <w:p>
            <w:pPr>
              <w:spacing w:after="20"/>
            </w:pPr>
            <w:r>
              <w:rPr>
                <w:rFonts w:ascii="Arial" w:hAnsi="Arial"/>
                <w:b w:val="0"/>
                <w:sz w:val="15"/>
              </w:rPr>
              <w:t>à 14 août 2026</w:t>
            </w:r>
          </w:p>
        </w:tc>
        <w:tc>
          <w:tcPr>
            <w:tcW w:type="dxa" w:w="1077"/>
          </w:tcPr>
          <w:p>
            <w:pPr>
              <w:spacing w:after="20" w:before="20"/>
            </w:pPr>
            <w:r/>
            <w:r>
              <w:rPr>
                <w:rFonts w:ascii="Arial" w:hAnsi="Arial"/>
                <w:b w:val="0"/>
                <w:sz w:val="15"/>
              </w:rPr>
              <w:t>aucune</w:t>
            </w:r>
          </w:p>
        </w:tc>
      </w:tr>
      <w:tr>
        <w:tc>
          <w:tcPr>
            <w:tcW w:type="dxa" w:w="567"/>
          </w:tcPr>
          <w:p>
            <w:pPr>
              <w:spacing w:after="20" w:before="20"/>
            </w:pPr>
            <w:r/>
            <w:r>
              <w:rPr>
                <w:rFonts w:ascii="Arial" w:hAnsi="Arial"/>
                <w:b w:val="0"/>
                <w:sz w:val="15"/>
              </w:rPr>
              <w:t>5.4</w:t>
            </w:r>
          </w:p>
        </w:tc>
        <w:tc>
          <w:tcPr>
            <w:tcW w:type="dxa" w:w="1984"/>
          </w:tcPr>
          <w:p>
            <w:pPr>
              <w:spacing w:after="20" w:before="20"/>
            </w:pPr>
            <w:r/>
            <w:r>
              <w:rPr>
                <w:rFonts w:ascii="Arial" w:hAnsi="Arial"/>
                <w:b w:val="0"/>
                <w:sz w:val="15"/>
              </w:rPr>
              <w:t>Enquête de besoins auprès des étudiants et anciens</w:t>
            </w:r>
          </w:p>
        </w:tc>
        <w:tc>
          <w:tcPr>
            <w:tcW w:type="dxa" w:w="2608"/>
          </w:tcPr>
          <w:p>
            <w:pPr>
              <w:spacing w:after="20" w:before="20"/>
            </w:pPr>
            <w:r/>
            <w:r>
              <w:rPr>
                <w:rFonts w:ascii="Arial" w:hAnsi="Arial"/>
                <w:b w:val="0"/>
                <w:sz w:val="15"/>
              </w:rPr>
              <w:t>Quatre entretiens, besoins du marché identifiés</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3 j</w:t>
            </w:r>
          </w:p>
        </w:tc>
        <w:tc>
          <w:tcPr>
            <w:tcW w:type="dxa" w:w="1474"/>
          </w:tcPr>
          <w:p>
            <w:pPr>
              <w:spacing w:after="20" w:before="20"/>
            </w:pPr>
            <w:r/>
            <w:r>
              <w:rPr>
                <w:rFonts w:ascii="Arial" w:hAnsi="Arial"/>
                <w:b w:val="0"/>
                <w:sz w:val="15"/>
              </w:rPr>
              <w:t>19 mai 2026</w:t>
            </w:r>
          </w:p>
          <w:p>
            <w:pPr>
              <w:spacing w:after="20"/>
            </w:pPr>
            <w:r>
              <w:rPr>
                <w:rFonts w:ascii="Arial" w:hAnsi="Arial"/>
                <w:b w:val="0"/>
                <w:sz w:val="15"/>
              </w:rPr>
              <w:t>à 28 mai 2026</w:t>
            </w:r>
          </w:p>
        </w:tc>
        <w:tc>
          <w:tcPr>
            <w:tcW w:type="dxa" w:w="1077"/>
          </w:tcPr>
          <w:p>
            <w:pPr>
              <w:spacing w:after="20" w:before="20"/>
            </w:pPr>
            <w:r/>
            <w:r>
              <w:rPr>
                <w:rFonts w:ascii="Arial" w:hAnsi="Arial"/>
                <w:b w:val="0"/>
                <w:sz w:val="15"/>
              </w:rPr>
              <w:t>2.5</w:t>
            </w:r>
          </w:p>
        </w:tc>
      </w:tr>
      <w:tr>
        <w:tc>
          <w:tcPr>
            <w:tcW w:type="dxa" w:w="567"/>
          </w:tcPr>
          <w:p>
            <w:pPr>
              <w:spacing w:after="20" w:before="20"/>
            </w:pPr>
            <w:r/>
            <w:r>
              <w:rPr>
                <w:rFonts w:ascii="Arial" w:hAnsi="Arial"/>
                <w:b w:val="0"/>
                <w:sz w:val="15"/>
              </w:rPr>
              <w:t>5.5</w:t>
            </w:r>
          </w:p>
        </w:tc>
        <w:tc>
          <w:tcPr>
            <w:tcW w:type="dxa" w:w="1984"/>
          </w:tcPr>
          <w:p>
            <w:pPr>
              <w:spacing w:after="20" w:before="20"/>
            </w:pPr>
            <w:r/>
            <w:r>
              <w:rPr>
                <w:rFonts w:ascii="Arial" w:hAnsi="Arial"/>
                <w:b w:val="0"/>
                <w:sz w:val="15"/>
              </w:rPr>
              <w:t>Communication interne du projet</w:t>
            </w:r>
          </w:p>
        </w:tc>
        <w:tc>
          <w:tcPr>
            <w:tcW w:type="dxa" w:w="2608"/>
          </w:tcPr>
          <w:p>
            <w:pPr>
              <w:spacing w:after="20" w:before="20"/>
            </w:pPr>
            <w:r/>
            <w:r>
              <w:rPr>
                <w:rFonts w:ascii="Arial" w:hAnsi="Arial"/>
                <w:b w:val="0"/>
                <w:sz w:val="15"/>
              </w:rPr>
              <w:t>Relais auprès des formateurs et de la direction</w:t>
            </w:r>
          </w:p>
        </w:tc>
        <w:tc>
          <w:tcPr>
            <w:tcW w:type="dxa" w:w="1417"/>
          </w:tcPr>
          <w:p>
            <w:pPr>
              <w:spacing w:after="20" w:before="20"/>
            </w:pPr>
            <w:r/>
            <w:r>
              <w:rPr>
                <w:rFonts w:ascii="Arial" w:hAnsi="Arial"/>
                <w:b w:val="0"/>
                <w:sz w:val="15"/>
              </w:rPr>
              <w:t>Responsable pédagogique</w:t>
            </w:r>
          </w:p>
        </w:tc>
        <w:tc>
          <w:tcPr>
            <w:tcW w:type="dxa" w:w="624"/>
          </w:tcPr>
          <w:p>
            <w:pPr>
              <w:spacing w:after="20" w:before="20"/>
            </w:pPr>
            <w:r/>
            <w:r>
              <w:rPr>
                <w:rFonts w:ascii="Arial" w:hAnsi="Arial"/>
                <w:b w:val="0"/>
                <w:sz w:val="15"/>
              </w:rPr>
              <w:t>2 j</w:t>
            </w:r>
          </w:p>
        </w:tc>
        <w:tc>
          <w:tcPr>
            <w:tcW w:type="dxa" w:w="1474"/>
          </w:tcPr>
          <w:p>
            <w:pPr>
              <w:spacing w:after="20" w:before="20"/>
            </w:pPr>
            <w:r/>
            <w:r>
              <w:rPr>
                <w:rFonts w:ascii="Arial" w:hAnsi="Arial"/>
                <w:b w:val="0"/>
                <w:sz w:val="15"/>
              </w:rPr>
              <w:t>2 mars 2026</w:t>
            </w:r>
          </w:p>
          <w:p>
            <w:pPr>
              <w:spacing w:after="20"/>
            </w:pPr>
            <w:r>
              <w:rPr>
                <w:rFonts w:ascii="Arial" w:hAnsi="Arial"/>
                <w:b w:val="0"/>
                <w:sz w:val="15"/>
              </w:rPr>
              <w:t>à 14 août 2026</w:t>
            </w:r>
          </w:p>
        </w:tc>
        <w:tc>
          <w:tcPr>
            <w:tcW w:type="dxa" w:w="1077"/>
          </w:tcPr>
          <w:p>
            <w:pPr>
              <w:spacing w:after="20" w:before="20"/>
            </w:pPr>
            <w:r/>
            <w:r>
              <w:rPr>
                <w:rFonts w:ascii="Arial" w:hAnsi="Arial"/>
                <w:b w:val="0"/>
                <w:sz w:val="15"/>
              </w:rPr>
              <w:t>aucune</w:t>
            </w:r>
          </w:p>
        </w:tc>
      </w:tr>
    </w:tbl>
    <w:p>
      <w:pPr>
        <w:spacing w:before="0" w:after="120"/>
      </w:pPr>
    </w:p>
    <w:p>
      <w:pPr>
        <w:spacing w:before="40" w:after="60"/>
      </w:pPr>
      <w:r>
        <w:rPr>
          <w:rFonts w:ascii="Arial" w:hAnsi="Arial"/>
          <w:b/>
          <w:i w:val="0"/>
          <w:color w:val="1F3864"/>
          <w:sz w:val="20"/>
        </w:rPr>
        <w:t>Lot 6 · Clôture et préparation 2026-2027        6 jours        3 août 2026 à 21 août 2026</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1393"/>
        <w:gridCol w:w="1393"/>
        <w:gridCol w:w="1393"/>
        <w:gridCol w:w="1393"/>
        <w:gridCol w:w="1393"/>
        <w:gridCol w:w="1393"/>
        <w:gridCol w:w="1393"/>
      </w:tblGrid>
      <w:tr>
        <w:trPr>
          <w:tblHeader w:val="true"/>
        </w:trPr>
        <w:tc>
          <w:tcPr>
            <w:tcW w:type="dxa" w:w="567"/>
            <w:shd w:val="clear" w:fill="1F3864"/>
          </w:tcPr>
          <w:p>
            <w:pPr>
              <w:spacing w:after="20" w:before="20"/>
            </w:pPr>
            <w:r/>
            <w:r>
              <w:rPr>
                <w:rFonts w:ascii="Arial" w:hAnsi="Arial"/>
                <w:b/>
                <w:color w:val="FFFFFF"/>
                <w:sz w:val="15"/>
              </w:rPr>
              <w:t>ID</w:t>
            </w:r>
          </w:p>
        </w:tc>
        <w:tc>
          <w:tcPr>
            <w:tcW w:type="dxa" w:w="1984"/>
            <w:shd w:val="clear" w:fill="1F3864"/>
          </w:tcPr>
          <w:p>
            <w:pPr>
              <w:spacing w:after="20" w:before="20"/>
            </w:pPr>
            <w:r/>
            <w:r>
              <w:rPr>
                <w:rFonts w:ascii="Arial" w:hAnsi="Arial"/>
                <w:b/>
                <w:color w:val="FFFFFF"/>
                <w:sz w:val="15"/>
              </w:rPr>
              <w:t>Lot de travail</w:t>
            </w:r>
          </w:p>
        </w:tc>
        <w:tc>
          <w:tcPr>
            <w:tcW w:type="dxa" w:w="2608"/>
            <w:shd w:val="clear" w:fill="1F3864"/>
          </w:tcPr>
          <w:p>
            <w:pPr>
              <w:spacing w:after="20" w:before="20"/>
            </w:pPr>
            <w:r/>
            <w:r>
              <w:rPr>
                <w:rFonts w:ascii="Arial" w:hAnsi="Arial"/>
                <w:b/>
                <w:color w:val="FFFFFF"/>
                <w:sz w:val="15"/>
              </w:rPr>
              <w:t>Produit ou résultat attendu</w:t>
            </w:r>
          </w:p>
        </w:tc>
        <w:tc>
          <w:tcPr>
            <w:tcW w:type="dxa" w:w="1417"/>
            <w:shd w:val="clear" w:fill="1F3864"/>
          </w:tcPr>
          <w:p>
            <w:pPr>
              <w:spacing w:after="20" w:before="20"/>
            </w:pPr>
            <w:r/>
            <w:r>
              <w:rPr>
                <w:rFonts w:ascii="Arial" w:hAnsi="Arial"/>
                <w:b/>
                <w:color w:val="FFFFFF"/>
                <w:sz w:val="15"/>
              </w:rPr>
              <w:t>Pilote</w:t>
            </w:r>
          </w:p>
        </w:tc>
        <w:tc>
          <w:tcPr>
            <w:tcW w:type="dxa" w:w="624"/>
            <w:shd w:val="clear" w:fill="1F3864"/>
          </w:tcPr>
          <w:p>
            <w:pPr>
              <w:spacing w:after="20" w:before="20"/>
            </w:pPr>
            <w:r/>
            <w:r>
              <w:rPr>
                <w:rFonts w:ascii="Arial" w:hAnsi="Arial"/>
                <w:b/>
                <w:color w:val="FFFFFF"/>
                <w:sz w:val="15"/>
              </w:rPr>
              <w:t>Charge</w:t>
            </w:r>
          </w:p>
        </w:tc>
        <w:tc>
          <w:tcPr>
            <w:tcW w:type="dxa" w:w="1474"/>
            <w:shd w:val="clear" w:fill="1F3864"/>
          </w:tcPr>
          <w:p>
            <w:pPr>
              <w:spacing w:after="20" w:before="20"/>
            </w:pPr>
            <w:r/>
            <w:r>
              <w:rPr>
                <w:rFonts w:ascii="Arial" w:hAnsi="Arial"/>
                <w:b/>
                <w:color w:val="FFFFFF"/>
                <w:sz w:val="15"/>
              </w:rPr>
              <w:t>Période</w:t>
            </w:r>
          </w:p>
        </w:tc>
        <w:tc>
          <w:tcPr>
            <w:tcW w:type="dxa" w:w="1077"/>
            <w:shd w:val="clear" w:fill="1F3864"/>
          </w:tcPr>
          <w:p>
            <w:pPr>
              <w:spacing w:after="20" w:before="20"/>
            </w:pPr>
            <w:r/>
            <w:r>
              <w:rPr>
                <w:rFonts w:ascii="Arial" w:hAnsi="Arial"/>
                <w:b/>
                <w:color w:val="FFFFFF"/>
                <w:sz w:val="15"/>
              </w:rPr>
              <w:t>Dépend de</w:t>
            </w:r>
          </w:p>
        </w:tc>
      </w:tr>
      <w:tr>
        <w:tc>
          <w:tcPr>
            <w:tcW w:type="dxa" w:w="567"/>
          </w:tcPr>
          <w:p>
            <w:pPr>
              <w:spacing w:after="20" w:before="20"/>
            </w:pPr>
            <w:r/>
            <w:r>
              <w:rPr>
                <w:rFonts w:ascii="Arial" w:hAnsi="Arial"/>
                <w:b w:val="0"/>
                <w:sz w:val="15"/>
              </w:rPr>
              <w:t>6.1</w:t>
            </w:r>
          </w:p>
        </w:tc>
        <w:tc>
          <w:tcPr>
            <w:tcW w:type="dxa" w:w="1984"/>
          </w:tcPr>
          <w:p>
            <w:pPr>
              <w:spacing w:after="20" w:before="20"/>
            </w:pPr>
            <w:r/>
            <w:r>
              <w:rPr>
                <w:rFonts w:ascii="Arial" w:hAnsi="Arial"/>
                <w:b w:val="0"/>
                <w:sz w:val="15"/>
              </w:rPr>
              <w:t>Réception des livrables</w:t>
            </w:r>
          </w:p>
        </w:tc>
        <w:tc>
          <w:tcPr>
            <w:tcW w:type="dxa" w:w="2608"/>
          </w:tcPr>
          <w:p>
            <w:pPr>
              <w:spacing w:after="20" w:before="20"/>
            </w:pPr>
            <w:r/>
            <w:r>
              <w:rPr>
                <w:rFonts w:ascii="Arial" w:hAnsi="Arial"/>
                <w:b w:val="0"/>
                <w:sz w:val="15"/>
              </w:rPr>
              <w:t>Procès-verbal de réception</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2 j</w:t>
            </w:r>
          </w:p>
        </w:tc>
        <w:tc>
          <w:tcPr>
            <w:tcW w:type="dxa" w:w="1474"/>
          </w:tcPr>
          <w:p>
            <w:pPr>
              <w:spacing w:after="20" w:before="20"/>
            </w:pPr>
            <w:r/>
            <w:r>
              <w:rPr>
                <w:rFonts w:ascii="Arial" w:hAnsi="Arial"/>
                <w:b w:val="0"/>
                <w:sz w:val="15"/>
              </w:rPr>
              <w:t>10 août 2026</w:t>
            </w:r>
          </w:p>
          <w:p>
            <w:pPr>
              <w:spacing w:after="20"/>
            </w:pPr>
            <w:r>
              <w:rPr>
                <w:rFonts w:ascii="Arial" w:hAnsi="Arial"/>
                <w:b w:val="0"/>
                <w:sz w:val="15"/>
              </w:rPr>
              <w:t>à 14 août 2026</w:t>
            </w:r>
          </w:p>
        </w:tc>
        <w:tc>
          <w:tcPr>
            <w:tcW w:type="dxa" w:w="1077"/>
          </w:tcPr>
          <w:p>
            <w:pPr>
              <w:spacing w:after="20" w:before="20"/>
            </w:pPr>
            <w:r/>
            <w:r>
              <w:rPr>
                <w:rFonts w:ascii="Arial" w:hAnsi="Arial"/>
                <w:b w:val="0"/>
                <w:sz w:val="15"/>
              </w:rPr>
              <w:t>4.8</w:t>
            </w:r>
          </w:p>
        </w:tc>
      </w:tr>
      <w:tr>
        <w:tc>
          <w:tcPr>
            <w:tcW w:type="dxa" w:w="567"/>
          </w:tcPr>
          <w:p>
            <w:pPr>
              <w:spacing w:after="20" w:before="20"/>
            </w:pPr>
            <w:r/>
            <w:r>
              <w:rPr>
                <w:rFonts w:ascii="Arial" w:hAnsi="Arial"/>
                <w:b w:val="0"/>
                <w:sz w:val="15"/>
              </w:rPr>
              <w:t>6.2</w:t>
            </w:r>
          </w:p>
        </w:tc>
        <w:tc>
          <w:tcPr>
            <w:tcW w:type="dxa" w:w="1984"/>
          </w:tcPr>
          <w:p>
            <w:pPr>
              <w:spacing w:after="20" w:before="20"/>
            </w:pPr>
            <w:r/>
            <w:r>
              <w:rPr>
                <w:rFonts w:ascii="Arial" w:hAnsi="Arial"/>
                <w:b w:val="0"/>
                <w:sz w:val="15"/>
              </w:rPr>
              <w:t>Plan de recrutement des formateurs 2026-2027</w:t>
            </w:r>
          </w:p>
        </w:tc>
        <w:tc>
          <w:tcPr>
            <w:tcW w:type="dxa" w:w="2608"/>
          </w:tcPr>
          <w:p>
            <w:pPr>
              <w:spacing w:after="20" w:before="20"/>
            </w:pPr>
            <w:r/>
            <w:r>
              <w:rPr>
                <w:rFonts w:ascii="Arial" w:hAnsi="Arial"/>
                <w:b w:val="0"/>
                <w:sz w:val="15"/>
              </w:rPr>
              <w:t>Plan prévisionnel des besoins en formateurs</w:t>
            </w:r>
          </w:p>
        </w:tc>
        <w:tc>
          <w:tcPr>
            <w:tcW w:type="dxa" w:w="1417"/>
          </w:tcPr>
          <w:p>
            <w:pPr>
              <w:spacing w:after="20" w:before="20"/>
            </w:pPr>
            <w:r/>
            <w:r>
              <w:rPr>
                <w:rFonts w:ascii="Arial" w:hAnsi="Arial"/>
                <w:b w:val="0"/>
                <w:sz w:val="15"/>
              </w:rPr>
              <w:t>Sourcing</w:t>
            </w:r>
          </w:p>
        </w:tc>
        <w:tc>
          <w:tcPr>
            <w:tcW w:type="dxa" w:w="624"/>
          </w:tcPr>
          <w:p>
            <w:pPr>
              <w:spacing w:after="20" w:before="20"/>
            </w:pPr>
            <w:r/>
            <w:r>
              <w:rPr>
                <w:rFonts w:ascii="Arial" w:hAnsi="Arial"/>
                <w:b w:val="0"/>
                <w:sz w:val="15"/>
              </w:rPr>
              <w:t>2 j</w:t>
            </w:r>
          </w:p>
        </w:tc>
        <w:tc>
          <w:tcPr>
            <w:tcW w:type="dxa" w:w="1474"/>
          </w:tcPr>
          <w:p>
            <w:pPr>
              <w:spacing w:after="20" w:before="20"/>
            </w:pPr>
            <w:r/>
            <w:r>
              <w:rPr>
                <w:rFonts w:ascii="Arial" w:hAnsi="Arial"/>
                <w:b w:val="0"/>
                <w:sz w:val="15"/>
              </w:rPr>
              <w:t>3 août 2026</w:t>
            </w:r>
          </w:p>
          <w:p>
            <w:pPr>
              <w:spacing w:after="20"/>
            </w:pPr>
            <w:r>
              <w:rPr>
                <w:rFonts w:ascii="Arial" w:hAnsi="Arial"/>
                <w:b w:val="0"/>
                <w:sz w:val="15"/>
              </w:rPr>
              <w:t>à 14 août 2026</w:t>
            </w:r>
          </w:p>
        </w:tc>
        <w:tc>
          <w:tcPr>
            <w:tcW w:type="dxa" w:w="1077"/>
          </w:tcPr>
          <w:p>
            <w:pPr>
              <w:spacing w:after="20" w:before="20"/>
            </w:pPr>
            <w:r/>
            <w:r>
              <w:rPr>
                <w:rFonts w:ascii="Arial" w:hAnsi="Arial"/>
                <w:b w:val="0"/>
                <w:sz w:val="15"/>
              </w:rPr>
              <w:t>3.6</w:t>
            </w:r>
          </w:p>
        </w:tc>
      </w:tr>
      <w:tr>
        <w:tc>
          <w:tcPr>
            <w:tcW w:type="dxa" w:w="567"/>
          </w:tcPr>
          <w:p>
            <w:pPr>
              <w:spacing w:after="20" w:before="20"/>
            </w:pPr>
            <w:r/>
            <w:r>
              <w:rPr>
                <w:rFonts w:ascii="Arial" w:hAnsi="Arial"/>
                <w:b w:val="0"/>
                <w:sz w:val="15"/>
              </w:rPr>
              <w:t>6.3</w:t>
            </w:r>
          </w:p>
        </w:tc>
        <w:tc>
          <w:tcPr>
            <w:tcW w:type="dxa" w:w="1984"/>
          </w:tcPr>
          <w:p>
            <w:pPr>
              <w:spacing w:after="20" w:before="20"/>
            </w:pPr>
            <w:r/>
            <w:r>
              <w:rPr>
                <w:rFonts w:ascii="Arial" w:hAnsi="Arial"/>
                <w:b w:val="0"/>
                <w:sz w:val="15"/>
              </w:rPr>
              <w:t>Bilan de projet</w:t>
            </w:r>
          </w:p>
        </w:tc>
        <w:tc>
          <w:tcPr>
            <w:tcW w:type="dxa" w:w="2608"/>
          </w:tcPr>
          <w:p>
            <w:pPr>
              <w:spacing w:after="20" w:before="20"/>
            </w:pPr>
            <w:r/>
            <w:r>
              <w:rPr>
                <w:rFonts w:ascii="Arial" w:hAnsi="Arial"/>
                <w:b w:val="0"/>
                <w:sz w:val="15"/>
              </w:rPr>
              <w:t>Bilan, enseignements, coût de possession</w:t>
            </w:r>
          </w:p>
        </w:tc>
        <w:tc>
          <w:tcPr>
            <w:tcW w:type="dxa" w:w="1417"/>
          </w:tcPr>
          <w:p>
            <w:pPr>
              <w:spacing w:after="20" w:before="20"/>
            </w:pPr>
            <w:r/>
            <w:r>
              <w:rPr>
                <w:rFonts w:ascii="Arial" w:hAnsi="Arial"/>
                <w:b w:val="0"/>
                <w:sz w:val="15"/>
              </w:rPr>
              <w:t>Chef de projet</w:t>
            </w:r>
          </w:p>
        </w:tc>
        <w:tc>
          <w:tcPr>
            <w:tcW w:type="dxa" w:w="624"/>
          </w:tcPr>
          <w:p>
            <w:pPr>
              <w:spacing w:after="20" w:before="20"/>
            </w:pPr>
            <w:r/>
            <w:r>
              <w:rPr>
                <w:rFonts w:ascii="Arial" w:hAnsi="Arial"/>
                <w:b w:val="0"/>
                <w:sz w:val="15"/>
              </w:rPr>
              <w:t>2 j</w:t>
            </w:r>
          </w:p>
        </w:tc>
        <w:tc>
          <w:tcPr>
            <w:tcW w:type="dxa" w:w="1474"/>
          </w:tcPr>
          <w:p>
            <w:pPr>
              <w:spacing w:after="20" w:before="20"/>
            </w:pPr>
            <w:r/>
            <w:r>
              <w:rPr>
                <w:rFonts w:ascii="Arial" w:hAnsi="Arial"/>
                <w:b w:val="0"/>
                <w:sz w:val="15"/>
              </w:rPr>
              <w:t>17 août 2026</w:t>
            </w:r>
          </w:p>
          <w:p>
            <w:pPr>
              <w:spacing w:after="20"/>
            </w:pPr>
            <w:r>
              <w:rPr>
                <w:rFonts w:ascii="Arial" w:hAnsi="Arial"/>
                <w:b w:val="0"/>
                <w:sz w:val="15"/>
              </w:rPr>
              <w:t>à 21 août 2026</w:t>
            </w:r>
          </w:p>
        </w:tc>
        <w:tc>
          <w:tcPr>
            <w:tcW w:type="dxa" w:w="1077"/>
          </w:tcPr>
          <w:p>
            <w:pPr>
              <w:spacing w:after="20" w:before="20"/>
            </w:pPr>
            <w:r/>
            <w:r>
              <w:rPr>
                <w:rFonts w:ascii="Arial" w:hAnsi="Arial"/>
                <w:b w:val="0"/>
                <w:sz w:val="15"/>
              </w:rPr>
              <w:t>6.1</w:t>
            </w:r>
          </w:p>
        </w:tc>
      </w:tr>
    </w:tbl>
    <w:p>
      <w:pPr>
        <w:spacing w:before="0" w:after="120"/>
      </w:pPr>
    </w:p>
    <w:p>
      <w:pPr>
        <w:spacing w:before="40" w:after="60"/>
      </w:pPr>
      <w:r>
        <w:rPr>
          <w:rFonts w:ascii="Arial" w:hAnsi="Arial"/>
          <w:b/>
          <w:i w:val="0"/>
          <w:color w:val="1F3864"/>
          <w:sz w:val="20"/>
        </w:rPr>
        <w:t>Répartition de la charge par acteur</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2835"/>
            <w:shd w:val="clear" w:fill="1F3864"/>
          </w:tcPr>
          <w:p>
            <w:pPr>
              <w:spacing w:after="20" w:before="20"/>
            </w:pPr>
            <w:r/>
            <w:r>
              <w:rPr>
                <w:rFonts w:ascii="Arial" w:hAnsi="Arial"/>
                <w:b/>
                <w:color w:val="FFFFFF"/>
                <w:sz w:val="17"/>
              </w:rPr>
              <w:t>Acteur</w:t>
            </w:r>
          </w:p>
        </w:tc>
        <w:tc>
          <w:tcPr>
            <w:tcW w:type="dxa" w:w="907"/>
            <w:shd w:val="clear" w:fill="1F3864"/>
          </w:tcPr>
          <w:p>
            <w:pPr>
              <w:spacing w:after="20" w:before="20"/>
            </w:pPr>
            <w:r/>
            <w:r>
              <w:rPr>
                <w:rFonts w:ascii="Arial" w:hAnsi="Arial"/>
                <w:b/>
                <w:color w:val="FFFFFF"/>
                <w:sz w:val="17"/>
              </w:rPr>
              <w:t>Charge</w:t>
            </w:r>
          </w:p>
        </w:tc>
        <w:tc>
          <w:tcPr>
            <w:tcW w:type="dxa" w:w="6009"/>
            <w:shd w:val="clear" w:fill="1F3864"/>
          </w:tcPr>
          <w:p>
            <w:pPr>
              <w:spacing w:after="20" w:before="20"/>
            </w:pPr>
            <w:r/>
            <w:r>
              <w:rPr>
                <w:rFonts w:ascii="Arial" w:hAnsi="Arial"/>
                <w:b/>
                <w:color w:val="FFFFFF"/>
                <w:sz w:val="17"/>
              </w:rPr>
              <w:t>Nature de la contribution</w:t>
            </w:r>
          </w:p>
        </w:tc>
      </w:tr>
      <w:tr>
        <w:tc>
          <w:tcPr>
            <w:tcW w:type="dxa" w:w="2835"/>
          </w:tcPr>
          <w:p>
            <w:pPr>
              <w:spacing w:after="20" w:before="20"/>
            </w:pPr>
            <w:r/>
            <w:r>
              <w:rPr>
                <w:rFonts w:ascii="Arial" w:hAnsi="Arial"/>
                <w:b w:val="0"/>
                <w:sz w:val="17"/>
              </w:rPr>
              <w:t>Chef de projet</w:t>
            </w:r>
          </w:p>
        </w:tc>
        <w:tc>
          <w:tcPr>
            <w:tcW w:type="dxa" w:w="907"/>
          </w:tcPr>
          <w:p>
            <w:pPr>
              <w:spacing w:after="20" w:before="20"/>
            </w:pPr>
            <w:r/>
            <w:r>
              <w:rPr>
                <w:rFonts w:ascii="Arial" w:hAnsi="Arial"/>
                <w:b w:val="0"/>
                <w:sz w:val="17"/>
              </w:rPr>
              <w:t>91 j</w:t>
            </w:r>
          </w:p>
        </w:tc>
        <w:tc>
          <w:tcPr>
            <w:tcW w:type="dxa" w:w="6009"/>
          </w:tcPr>
          <w:p>
            <w:pPr>
              <w:spacing w:after="20" w:before="20"/>
            </w:pPr>
            <w:r/>
            <w:r>
              <w:rPr>
                <w:rFonts w:ascii="Arial" w:hAnsi="Arial"/>
                <w:b w:val="0"/>
                <w:sz w:val="17"/>
              </w:rPr>
              <w:t>35 jours au titre de la journée hebdomadaire contractuelle, 56 jours hors temps contractuel (soirées et fins de semaine)</w:t>
            </w:r>
          </w:p>
        </w:tc>
      </w:tr>
      <w:tr>
        <w:tc>
          <w:tcPr>
            <w:tcW w:type="dxa" w:w="2835"/>
          </w:tcPr>
          <w:p>
            <w:pPr>
              <w:spacing w:after="20" w:before="20"/>
            </w:pPr>
            <w:r/>
            <w:r>
              <w:rPr>
                <w:rFonts w:ascii="Arial" w:hAnsi="Arial"/>
                <w:b w:val="0"/>
                <w:sz w:val="17"/>
              </w:rPr>
              <w:t>Responsable pédagogique</w:t>
            </w:r>
          </w:p>
        </w:tc>
        <w:tc>
          <w:tcPr>
            <w:tcW w:type="dxa" w:w="907"/>
          </w:tcPr>
          <w:p>
            <w:pPr>
              <w:spacing w:after="20" w:before="20"/>
            </w:pPr>
            <w:r/>
            <w:r>
              <w:rPr>
                <w:rFonts w:ascii="Arial" w:hAnsi="Arial"/>
                <w:b w:val="0"/>
                <w:sz w:val="17"/>
              </w:rPr>
              <w:t>40 j</w:t>
            </w:r>
          </w:p>
        </w:tc>
        <w:tc>
          <w:tcPr>
            <w:tcW w:type="dxa" w:w="6009"/>
          </w:tcPr>
          <w:p>
            <w:pPr>
              <w:spacing w:after="20" w:before="20"/>
            </w:pPr>
            <w:r/>
            <w:r>
              <w:rPr>
                <w:rFonts w:ascii="Arial" w:hAnsi="Arial"/>
                <w:b w:val="0"/>
                <w:sz w:val="17"/>
              </w:rPr>
              <w:t>Validation, arbitrages, plannings, recette de l'application, communication interne ; environ 8 heures par semaine</w:t>
            </w:r>
          </w:p>
        </w:tc>
      </w:tr>
      <w:tr>
        <w:tc>
          <w:tcPr>
            <w:tcW w:type="dxa" w:w="2835"/>
          </w:tcPr>
          <w:p>
            <w:pPr>
              <w:spacing w:after="20" w:before="20"/>
            </w:pPr>
            <w:r/>
            <w:r>
              <w:rPr>
                <w:rFonts w:ascii="Arial" w:hAnsi="Arial"/>
                <w:b w:val="0"/>
                <w:sz w:val="17"/>
              </w:rPr>
              <w:t>Équipe commerciale et administrative</w:t>
            </w:r>
          </w:p>
        </w:tc>
        <w:tc>
          <w:tcPr>
            <w:tcW w:type="dxa" w:w="907"/>
          </w:tcPr>
          <w:p>
            <w:pPr>
              <w:spacing w:after="20" w:before="20"/>
            </w:pPr>
            <w:r/>
            <w:r>
              <w:rPr>
                <w:rFonts w:ascii="Arial" w:hAnsi="Arial"/>
                <w:b w:val="0"/>
                <w:sz w:val="17"/>
              </w:rPr>
              <w:t>10 j</w:t>
            </w:r>
          </w:p>
        </w:tc>
        <w:tc>
          <w:tcPr>
            <w:tcW w:type="dxa" w:w="6009"/>
          </w:tcPr>
          <w:p>
            <w:pPr>
              <w:spacing w:after="20" w:before="20"/>
            </w:pPr>
            <w:r/>
            <w:r>
              <w:rPr>
                <w:rFonts w:ascii="Arial" w:hAnsi="Arial"/>
                <w:b w:val="0"/>
                <w:sz w:val="17"/>
              </w:rPr>
              <w:t>Assistant pédagogique, sourcing, commerciaux, relations apprenants-entreprises ; environ 2 heures par semaine</w:t>
            </w:r>
          </w:p>
        </w:tc>
      </w:tr>
      <w:tr>
        <w:tc>
          <w:tcPr>
            <w:tcW w:type="dxa" w:w="2835"/>
          </w:tcPr>
          <w:p>
            <w:pPr>
              <w:spacing w:after="20" w:before="20"/>
            </w:pPr>
            <w:r/>
            <w:r>
              <w:rPr>
                <w:rFonts w:ascii="Arial" w:hAnsi="Arial"/>
                <w:b w:val="0"/>
                <w:sz w:val="17"/>
              </w:rPr>
              <w:t>Formateurs (25 personnes)</w:t>
            </w:r>
          </w:p>
        </w:tc>
        <w:tc>
          <w:tcPr>
            <w:tcW w:type="dxa" w:w="907"/>
          </w:tcPr>
          <w:p>
            <w:pPr>
              <w:spacing w:after="20" w:before="20"/>
            </w:pPr>
            <w:r/>
            <w:r>
              <w:rPr>
                <w:rFonts w:ascii="Arial" w:hAnsi="Arial"/>
                <w:b w:val="0"/>
                <w:sz w:val="17"/>
              </w:rPr>
              <w:t>5 j</w:t>
            </w:r>
          </w:p>
        </w:tc>
        <w:tc>
          <w:tcPr>
            <w:tcW w:type="dxa" w:w="6009"/>
          </w:tcPr>
          <w:p>
            <w:pPr>
              <w:spacing w:after="20" w:before="20"/>
            </w:pPr>
            <w:r/>
            <w:r>
              <w:rPr>
                <w:rFonts w:ascii="Arial" w:hAnsi="Arial"/>
                <w:b w:val="0"/>
                <w:sz w:val="17"/>
              </w:rPr>
              <w:t>Réponses à la collecte, relecture croisée des fiches, contributions de contenu ; environ 1 heure et demie chacun</w:t>
            </w:r>
          </w:p>
        </w:tc>
      </w:tr>
      <w:tr>
        <w:tc>
          <w:tcPr>
            <w:tcW w:type="dxa" w:w="2835"/>
          </w:tcPr>
          <w:p>
            <w:pPr>
              <w:spacing w:after="20" w:before="20"/>
            </w:pPr>
            <w:r/>
            <w:r>
              <w:rPr>
                <w:rFonts w:ascii="Arial" w:hAnsi="Arial"/>
                <w:b w:val="0"/>
                <w:sz w:val="17"/>
              </w:rPr>
              <w:t>Total</w:t>
            </w:r>
          </w:p>
        </w:tc>
        <w:tc>
          <w:tcPr>
            <w:tcW w:type="dxa" w:w="907"/>
          </w:tcPr>
          <w:p>
            <w:pPr>
              <w:spacing w:after="20" w:before="20"/>
            </w:pPr>
            <w:r/>
            <w:r>
              <w:rPr>
                <w:rFonts w:ascii="Arial" w:hAnsi="Arial"/>
                <w:b w:val="0"/>
                <w:sz w:val="17"/>
              </w:rPr>
              <w:t>146 j</w:t>
            </w:r>
          </w:p>
        </w:tc>
        <w:tc>
          <w:tcPr>
            <w:tcW w:type="dxa" w:w="6009"/>
          </w:tcPr>
          <w:p>
            <w:pPr>
              <w:spacing w:after="20" w:before="20"/>
            </w:pPr>
            <w:r/>
            <w:r>
              <w:rPr>
                <w:rFonts w:ascii="Arial" w:hAnsi="Arial"/>
                <w:b w:val="0"/>
                <w:sz w:val="17"/>
              </w:rPr>
              <w:t>Charge du WBS, toutes ressources confondues</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Règles de découpage retenues</w:t>
            </w:r>
          </w:p>
        </w:tc>
      </w:tr>
      <w:tr>
        <w:tc>
          <w:tcPr>
            <w:tcW w:type="dxa" w:w="9752"/>
          </w:tcPr>
          <w:p>
            <w:pPr>
              <w:spacing w:after="60" w:before="20"/>
            </w:pPr>
            <w:r/>
            <w:r>
              <w:rPr>
                <w:rFonts w:ascii="Arial" w:hAnsi="Arial"/>
                <w:b w:val="0"/>
                <w:sz w:val="18"/>
              </w:rPr>
              <w:t>Un lot de travail est retenu s'il produit un résultat identifiable, s'il peut être confié à un pilote unique et s'il tient dans une charge inférieure à une douzaine de jours. Les lots du pilotage (5.1 à 5.5) sont transverses : ils courent sur toute la durée du projet et leur charge est consolidée plutôt que datée au jour près. Les charges sont exprimées en jours de sept heures. Le suivi de l'écart entre charge prévue et charge consommée figure au rapport de maîtrise des coûts.</w:t>
            </w:r>
          </w:p>
        </w:tc>
      </w:tr>
    </w:tbl>
    <w:p>
      <w:pPr>
        <w:spacing w:before="0" w:after="120"/>
      </w:pPr>
    </w:p>
    <w:sectPr w:rsidR="00FC693F" w:rsidRPr="0006063C" w:rsidSect="00034616">
      <w:headerReference w:type="default" r:id="rId9"/>
      <w:footerReference w:type="default" r:id="rId10"/>
      <w:pgSz w:w="11906" w:h="16838"/>
      <w:pgMar w:top="1361" w:right="1077" w:bottom="964" w:left="1077"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06060"/>
        <w:sz w:val="16"/>
      </w:rPr>
      <w:t xml:space="preserve">IMIE Paris   ·   </w:t>
    </w:r>
    <w:fldSimple w:instr="PAGE">
      <w:r>
        <w:rPr>
          <w:sz w:val="16"/>
        </w:rPr>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auto" w:w="0"/>
      <w:tblLook w:firstColumn="1" w:firstRow="1" w:lastColumn="0" w:lastRow="0" w:noHBand="0" w:noVBand="1" w:val="04A0"/>
      <w:tblBorders>
        <w:top w:val="none"/>
        <w:left w:val="none"/>
        <w:bottom w:val="none"/>
        <w:right w:val="none"/>
        <w:insideH w:val="none"/>
        <w:insideV w:val="none"/>
      </w:tblBorders>
    </w:tblPr>
    <w:tblGrid>
      <w:gridCol w:w="3402"/>
      <w:gridCol w:w="6350"/>
    </w:tblGrid>
    <w:tr>
      <w:tc>
        <w:tcPr>
          <w:tcW w:type="dxa" w:w="4876"/>
        </w:tcPr>
        <w:p>
          <w:pPr>
            <w:spacing w:after="0"/>
          </w:pPr>
          <w:r>
            <w:drawing>
              <wp:inline xmlns:a="http://schemas.openxmlformats.org/drawingml/2006/main" xmlns:pic="http://schemas.openxmlformats.org/drawingml/2006/picture">
                <wp:extent cx="342000" cy="342000"/>
                <wp:docPr id="1" name="Picture 1"/>
                <wp:cNvGraphicFramePr>
                  <a:graphicFrameLocks noChangeAspect="1"/>
                </wp:cNvGraphicFramePr>
                <a:graphic>
                  <a:graphicData uri="http://schemas.openxmlformats.org/drawingml/2006/picture">
                    <pic:pic>
                      <pic:nvPicPr>
                        <pic:cNvPr id="0" name="logo_imie_entete.png"/>
                        <pic:cNvPicPr/>
                      </pic:nvPicPr>
                      <pic:blipFill>
                        <a:blip r:embed="rId1"/>
                        <a:stretch>
                          <a:fillRect/>
                        </a:stretch>
                      </pic:blipFill>
                      <pic:spPr>
                        <a:xfrm>
                          <a:off x="0" y="0"/>
                          <a:ext cx="342000" cy="342000"/>
                        </a:xfrm>
                        <a:prstGeom prst="rect"/>
                      </pic:spPr>
                    </pic:pic>
                  </a:graphicData>
                </a:graphic>
              </wp:inline>
            </w:drawing>
          </w:r>
        </w:p>
      </w:tc>
      <w:tc>
        <w:tcPr>
          <w:tcW w:type="dxa" w:w="4876"/>
        </w:tcPr>
        <w:p>
          <w:pPr>
            <w:spacing w:after="0" w:before="20"/>
            <w:jc w:val="right"/>
          </w:pPr>
          <w:r/>
          <w:r>
            <w:rPr>
              <w:rFonts w:ascii="Arial" w:hAnsi="Arial"/>
              <w:b/>
              <w:color w:val="1F3864"/>
              <w:sz w:val="18"/>
            </w:rPr>
            <w:t>Dictionnaire du WBS · Structuration des parcours B1/B2 · B1B2-2026</w:t>
          </w:r>
        </w:p>
      </w:tc>
    </w:tr>
  </w:tbl>
  <w:p>
    <w:pPr>
      <w:spacing w:before="40" w:after="0"/>
      <w:pBdr>
        <w:bottom w:val="single" w:sz="6" w:color="1F3864"/>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