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Collecte des disponibilités et des compétences</w:t>
            </w:r>
          </w:p>
          <w:p>
            <w:pPr>
              <w:spacing w:after="40"/>
              <w:jc w:val="center"/>
            </w:pPr>
            <w:r>
              <w:rPr>
                <w:rFonts w:ascii="Arial" w:hAnsi="Arial"/>
                <w:color w:val="D5DDEC"/>
                <w:sz w:val="20"/>
              </w:rPr>
              <w:t>Résultats et conséquences pour le projet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Source</w:t>
            </w:r>
          </w:p>
        </w:tc>
        <w:tc>
          <w:tcPr>
            <w:tcW w:type="dxa" w:w="7143"/>
          </w:tcPr>
          <w:p>
            <w:pPr>
              <w:spacing w:after="40" w:before="20"/>
            </w:pPr>
            <w:r/>
            <w:r>
              <w:rPr>
                <w:rFonts w:ascii="Arial" w:hAnsi="Arial"/>
                <w:b w:val="0"/>
                <w:sz w:val="18"/>
              </w:rPr>
              <w:t>Export consolidé de FormaPlanner, version 2.2.5</w:t>
            </w:r>
          </w:p>
        </w:tc>
      </w:tr>
      <w:tr>
        <w:tc>
          <w:tcPr>
            <w:tcW w:type="dxa" w:w="2608"/>
            <w:shd w:val="clear" w:fill="EAEFF7"/>
          </w:tcPr>
          <w:p>
            <w:pPr>
              <w:spacing w:after="40" w:before="20"/>
            </w:pPr>
            <w:r/>
            <w:r>
              <w:rPr>
                <w:rFonts w:ascii="Arial" w:hAnsi="Arial"/>
                <w:b/>
                <w:color w:val="1F3864"/>
                <w:sz w:val="18"/>
              </w:rPr>
              <w:t>Périmètre de l'export</w:t>
            </w:r>
          </w:p>
        </w:tc>
        <w:tc>
          <w:tcPr>
            <w:tcW w:type="dxa" w:w="7143"/>
          </w:tcPr>
          <w:p>
            <w:pPr>
              <w:spacing w:after="40" w:before="20"/>
            </w:pPr>
            <w:r/>
            <w:r>
              <w:rPr>
                <w:rFonts w:ascii="Arial" w:hAnsi="Arial"/>
                <w:b w:val="0"/>
                <w:sz w:val="18"/>
              </w:rPr>
              <w:t>27 formateurs, 11 filières, 268 modules</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Premier dépouillement, à l'issue de la collecte par fichier</w:t>
            </w:r>
          </w:p>
        </w:tc>
        <w:tc>
          <w:tcPr>
            <w:tcW w:type="dxa" w:w="1701"/>
          </w:tcPr>
          <w:p>
            <w:pPr>
              <w:spacing w:after="40" w:before="20"/>
            </w:pPr>
            <w:r/>
            <w:r>
              <w:rPr>
                <w:rFonts w:ascii="Arial" w:hAnsi="Arial"/>
                <w:b w:val="0"/>
                <w:sz w:val="18"/>
              </w:rPr>
              <w:t>20/04/2026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Relances individuelles intégrées</w:t>
            </w:r>
          </w:p>
        </w:tc>
        <w:tc>
          <w:tcPr>
            <w:tcW w:type="dxa" w:w="1701"/>
          </w:tcPr>
          <w:p>
            <w:pPr>
              <w:spacing w:after="40" w:before="20"/>
            </w:pPr>
            <w:r/>
            <w:r>
              <w:rPr>
                <w:rFonts w:ascii="Arial" w:hAnsi="Arial"/>
                <w:b w:val="0"/>
                <w:sz w:val="18"/>
              </w:rPr>
              <w:t>15/05/2026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Consolidation après ouverture des accès en ligne</w:t>
            </w:r>
          </w:p>
        </w:tc>
        <w:tc>
          <w:tcPr>
            <w:tcW w:type="dxa" w:w="1701"/>
          </w:tcPr>
          <w:p>
            <w:pPr>
              <w:spacing w:after="40" w:before="20"/>
            </w:pPr>
            <w:r/>
            <w:r>
              <w:rPr>
                <w:rFonts w:ascii="Arial" w:hAnsi="Arial"/>
                <w:b w:val="0"/>
                <w:sz w:val="18"/>
              </w:rPr>
              <w:t>30/06/2026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Analyse de couverture et conclusions pour le recrutement</w:t>
            </w:r>
          </w:p>
        </w:tc>
        <w:tc>
          <w:tcPr>
            <w:tcW w:type="dxa" w:w="1701"/>
          </w:tcPr>
          <w:p>
            <w:pPr>
              <w:spacing w:after="40" w:before="20"/>
            </w:pPr>
            <w:r/>
            <w:r>
              <w:rPr>
                <w:rFonts w:ascii="Arial" w:hAnsi="Arial"/>
                <w:b w:val="0"/>
                <w:sz w:val="18"/>
              </w:rPr>
              <w:t>14/08/2026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Comment la collecte a été conduite</w:t>
            </w:r>
          </w:p>
        </w:tc>
      </w:tr>
      <w:tr>
        <w:tc>
          <w:tcPr>
            <w:tcW w:type="dxa" w:w="9752"/>
          </w:tcPr>
          <w:p>
            <w:pPr>
              <w:spacing w:after="60" w:before="20"/>
            </w:pPr>
            <w:r/>
            <w:r>
              <w:rPr>
                <w:rFonts w:ascii="Arial" w:hAnsi="Arial"/>
                <w:b w:val="0"/>
                <w:sz w:val="18"/>
              </w:rPr>
              <w:t>Trois temps, décidés en réponse aux premières résistances. Un fichier commun a d'abord été adressé à l'ensemble des formateurs pendant que l'application se construisait ; les réponses ont été agrégées à la main. Les retardataires ont ensuite été relancés un par un. À la mise en service de l'application, les accès ont été ouverts pour que les derniers répondent directement, depuis un ordinateur ou un téléphone. Un mécanisme incitatif simple a fait le reste : sans déclaration, pas de prise en compte dans le planning.</w:t>
            </w:r>
          </w:p>
        </w:tc>
      </w:tr>
    </w:tbl>
    <w:p>
      <w:pPr>
        <w:spacing w:before="0" w:after="120"/>
      </w:pPr>
    </w:p>
    <w:p>
      <w:pPr>
        <w:spacing w:before="40" w:after="60"/>
      </w:pPr>
      <w:r>
        <w:rPr>
          <w:rFonts w:ascii="Arial" w:hAnsi="Arial"/>
          <w:b/>
          <w:i w:val="0"/>
          <w:color w:val="1F3864"/>
          <w:sz w:val="20"/>
        </w:rPr>
        <w:t>Ce que la collecte a produit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4195"/>
            <w:shd w:val="clear" w:fill="1F3864"/>
          </w:tcPr>
          <w:p>
            <w:pPr>
              <w:spacing w:after="20" w:before="20"/>
            </w:pPr>
            <w:r/>
            <w:r>
              <w:rPr>
                <w:rFonts w:ascii="Arial" w:hAnsi="Arial"/>
                <w:b/>
                <w:color w:val="FFFFFF"/>
                <w:sz w:val="18"/>
              </w:rPr>
              <w:t>Indicateur</w:t>
            </w:r>
          </w:p>
        </w:tc>
        <w:tc>
          <w:tcPr>
            <w:tcW w:type="dxa" w:w="3061"/>
            <w:shd w:val="clear" w:fill="1F3864"/>
          </w:tcPr>
          <w:p>
            <w:pPr>
              <w:spacing w:after="20" w:before="20"/>
            </w:pPr>
            <w:r/>
            <w:r>
              <w:rPr>
                <w:rFonts w:ascii="Arial" w:hAnsi="Arial"/>
                <w:b/>
                <w:color w:val="FFFFFF"/>
                <w:sz w:val="18"/>
              </w:rPr>
              <w:t>Périmètre du projet (B1 et B2)</w:t>
            </w:r>
          </w:p>
        </w:tc>
        <w:tc>
          <w:tcPr>
            <w:tcW w:type="dxa" w:w="2494"/>
            <w:shd w:val="clear" w:fill="1F3864"/>
          </w:tcPr>
          <w:p>
            <w:pPr>
              <w:spacing w:after="20" w:before="20"/>
            </w:pPr>
            <w:r/>
            <w:r>
              <w:rPr>
                <w:rFonts w:ascii="Arial" w:hAnsi="Arial"/>
                <w:b/>
                <w:color w:val="FFFFFF"/>
                <w:sz w:val="18"/>
              </w:rPr>
              <w:t>Toutes filières</w:t>
            </w:r>
          </w:p>
        </w:tc>
      </w:tr>
      <w:tr>
        <w:tc>
          <w:tcPr>
            <w:tcW w:type="dxa" w:w="4195"/>
          </w:tcPr>
          <w:p>
            <w:pPr>
              <w:spacing w:after="20" w:before="20"/>
            </w:pPr>
            <w:r/>
            <w:r>
              <w:rPr>
                <w:rFonts w:ascii="Arial" w:hAnsi="Arial"/>
                <w:b w:val="0"/>
                <w:sz w:val="18"/>
              </w:rPr>
              <w:t>Modules concernés</w:t>
            </w:r>
          </w:p>
        </w:tc>
        <w:tc>
          <w:tcPr>
            <w:tcW w:type="dxa" w:w="3061"/>
          </w:tcPr>
          <w:p>
            <w:pPr>
              <w:spacing w:after="20" w:before="20"/>
            </w:pPr>
            <w:r/>
            <w:r>
              <w:rPr>
                <w:rFonts w:ascii="Arial" w:hAnsi="Arial"/>
                <w:b w:val="0"/>
                <w:sz w:val="18"/>
              </w:rPr>
              <w:t>93</w:t>
            </w:r>
          </w:p>
        </w:tc>
        <w:tc>
          <w:tcPr>
            <w:tcW w:type="dxa" w:w="2494"/>
          </w:tcPr>
          <w:p>
            <w:pPr>
              <w:spacing w:after="20" w:before="20"/>
            </w:pPr>
            <w:r/>
            <w:r>
              <w:rPr>
                <w:rFonts w:ascii="Arial" w:hAnsi="Arial"/>
                <w:b w:val="0"/>
                <w:sz w:val="18"/>
              </w:rPr>
              <w:t>268</w:t>
            </w:r>
          </w:p>
        </w:tc>
      </w:tr>
      <w:tr>
        <w:tc>
          <w:tcPr>
            <w:tcW w:type="dxa" w:w="4195"/>
          </w:tcPr>
          <w:p>
            <w:pPr>
              <w:spacing w:after="20" w:before="20"/>
            </w:pPr>
            <w:r/>
            <w:r>
              <w:rPr>
                <w:rFonts w:ascii="Arial" w:hAnsi="Arial"/>
                <w:b w:val="0"/>
                <w:sz w:val="18"/>
              </w:rPr>
              <w:t>Formateurs ayant déclaré</w:t>
            </w:r>
          </w:p>
        </w:tc>
        <w:tc>
          <w:tcPr>
            <w:tcW w:type="dxa" w:w="3061"/>
          </w:tcPr>
          <w:p>
            <w:pPr>
              <w:spacing w:after="20" w:before="20"/>
            </w:pPr>
            <w:r/>
            <w:r>
              <w:rPr>
                <w:rFonts w:ascii="Arial" w:hAnsi="Arial"/>
                <w:b w:val="0"/>
                <w:sz w:val="18"/>
              </w:rPr>
              <w:t>20 sur 27</w:t>
            </w:r>
          </w:p>
        </w:tc>
        <w:tc>
          <w:tcPr>
            <w:tcW w:type="dxa" w:w="2494"/>
          </w:tcPr>
          <w:p>
            <w:pPr>
              <w:spacing w:after="20" w:before="20"/>
            </w:pPr>
            <w:r/>
            <w:r>
              <w:rPr>
                <w:rFonts w:ascii="Arial" w:hAnsi="Arial"/>
                <w:b w:val="0"/>
                <w:sz w:val="18"/>
              </w:rPr>
              <w:t>25 sur 27</w:t>
            </w:r>
          </w:p>
        </w:tc>
      </w:tr>
      <w:tr>
        <w:tc>
          <w:tcPr>
            <w:tcW w:type="dxa" w:w="4195"/>
          </w:tcPr>
          <w:p>
            <w:pPr>
              <w:spacing w:after="20" w:before="20"/>
            </w:pPr>
            <w:r/>
            <w:r>
              <w:rPr>
                <w:rFonts w:ascii="Arial" w:hAnsi="Arial"/>
                <w:b w:val="0"/>
                <w:sz w:val="18"/>
              </w:rPr>
              <w:t>Taux de réponse</w:t>
            </w:r>
          </w:p>
        </w:tc>
        <w:tc>
          <w:tcPr>
            <w:tcW w:type="dxa" w:w="3061"/>
          </w:tcPr>
          <w:p>
            <w:pPr>
              <w:spacing w:after="20" w:before="20"/>
            </w:pPr>
            <w:r/>
            <w:r>
              <w:rPr>
                <w:rFonts w:ascii="Arial" w:hAnsi="Arial"/>
                <w:b w:val="0"/>
                <w:sz w:val="18"/>
              </w:rPr>
              <w:t>74 %</w:t>
            </w:r>
          </w:p>
        </w:tc>
        <w:tc>
          <w:tcPr>
            <w:tcW w:type="dxa" w:w="2494"/>
          </w:tcPr>
          <w:p>
            <w:pPr>
              <w:spacing w:after="20" w:before="20"/>
            </w:pPr>
            <w:r/>
            <w:r>
              <w:rPr>
                <w:rFonts w:ascii="Arial" w:hAnsi="Arial"/>
                <w:b w:val="0"/>
                <w:sz w:val="18"/>
              </w:rPr>
              <w:t>93 %</w:t>
            </w:r>
          </w:p>
        </w:tc>
      </w:tr>
      <w:tr>
        <w:tc>
          <w:tcPr>
            <w:tcW w:type="dxa" w:w="4195"/>
          </w:tcPr>
          <w:p>
            <w:pPr>
              <w:spacing w:after="20" w:before="20"/>
            </w:pPr>
            <w:r/>
            <w:r>
              <w:rPr>
                <w:rFonts w:ascii="Arial" w:hAnsi="Arial"/>
                <w:b w:val="0"/>
                <w:sz w:val="18"/>
              </w:rPr>
              <w:t>Modules sans formateur de maîtrise 3 ou 4</w:t>
            </w:r>
          </w:p>
        </w:tc>
        <w:tc>
          <w:tcPr>
            <w:tcW w:type="dxa" w:w="3061"/>
          </w:tcPr>
          <w:p>
            <w:pPr>
              <w:spacing w:after="20" w:before="20"/>
            </w:pPr>
            <w:r/>
            <w:r>
              <w:rPr>
                <w:rFonts w:ascii="Arial" w:hAnsi="Arial"/>
                <w:b w:val="0"/>
                <w:sz w:val="18"/>
              </w:rPr>
              <w:t>3</w:t>
            </w:r>
          </w:p>
        </w:tc>
        <w:tc>
          <w:tcPr>
            <w:tcW w:type="dxa" w:w="2494"/>
          </w:tcPr>
          <w:p>
            <w:pPr>
              <w:spacing w:after="20" w:before="20"/>
            </w:pPr>
            <w:r/>
            <w:r>
              <w:rPr>
                <w:rFonts w:ascii="Arial" w:hAnsi="Arial"/>
                <w:b w:val="0"/>
                <w:sz w:val="18"/>
              </w:rPr>
              <w:t>3</w:t>
            </w:r>
          </w:p>
        </w:tc>
      </w:tr>
      <w:tr>
        <w:tc>
          <w:tcPr>
            <w:tcW w:type="dxa" w:w="4195"/>
          </w:tcPr>
          <w:p>
            <w:pPr>
              <w:spacing w:after="20" w:before="20"/>
            </w:pPr>
            <w:r/>
            <w:r>
              <w:rPr>
                <w:rFonts w:ascii="Arial" w:hAnsi="Arial"/>
                <w:b w:val="0"/>
                <w:sz w:val="18"/>
              </w:rPr>
              <w:t>Modules ne reposant que sur un formateur</w:t>
            </w:r>
          </w:p>
        </w:tc>
        <w:tc>
          <w:tcPr>
            <w:tcW w:type="dxa" w:w="3061"/>
          </w:tcPr>
          <w:p>
            <w:pPr>
              <w:spacing w:after="20" w:before="20"/>
            </w:pPr>
            <w:r/>
            <w:r>
              <w:rPr>
                <w:rFonts w:ascii="Arial" w:hAnsi="Arial"/>
                <w:b w:val="0"/>
                <w:sz w:val="18"/>
              </w:rPr>
              <w:t>3</w:t>
            </w:r>
          </w:p>
        </w:tc>
        <w:tc>
          <w:tcPr>
            <w:tcW w:type="dxa" w:w="2494"/>
          </w:tcPr>
          <w:p>
            <w:pPr>
              <w:spacing w:after="20" w:before="20"/>
            </w:pPr>
            <w:r/>
            <w:r>
              <w:rPr>
                <w:rFonts w:ascii="Arial" w:hAnsi="Arial"/>
                <w:b w:val="0"/>
                <w:sz w:val="18"/>
              </w:rPr>
              <w:t>11</w:t>
            </w:r>
          </w:p>
        </w:tc>
      </w:tr>
    </w:tbl>
    <w:p>
      <w:pPr>
        <w:spacing w:before="0" w:after="120"/>
      </w:pPr>
    </w:p>
    <w:p>
      <w:pPr>
        <w:spacing w:before="0" w:after="160"/>
      </w:pPr>
      <w:r>
        <w:rPr>
          <w:rFonts w:ascii="Arial" w:hAnsi="Arial"/>
          <w:b w:val="0"/>
          <w:i/>
          <w:color w:val="606060"/>
          <w:sz w:val="18"/>
        </w:rPr>
        <w:t>Le taux du périmètre est plus bas que le taux global parce que tous les formateurs n'interviennent pas sur les deux premières années : ceux qui n'enseignent qu'en troisième année ou en master n'avaient pas de raison de se déclarer sur ces modules. Le taux global est celui qui mesure l'adhésion au dispositif.</w:t>
      </w:r>
    </w:p>
    <w:p>
      <w:pPr>
        <w:spacing w:before="40" w:after="60"/>
      </w:pPr>
      <w:r>
        <w:rPr>
          <w:rFonts w:ascii="Arial" w:hAnsi="Arial"/>
          <w:b/>
          <w:i w:val="0"/>
          <w:color w:val="1F3864"/>
          <w:sz w:val="20"/>
        </w:rPr>
        <w:t>Modules du périmètre sans formateur qualifié</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1247"/>
            <w:shd w:val="clear" w:fill="1F3864"/>
          </w:tcPr>
          <w:p>
            <w:pPr>
              <w:spacing w:after="20" w:before="20"/>
            </w:pPr>
            <w:r/>
            <w:r>
              <w:rPr>
                <w:rFonts w:ascii="Arial" w:hAnsi="Arial"/>
                <w:b/>
                <w:color w:val="FFFFFF"/>
                <w:sz w:val="17"/>
              </w:rPr>
              <w:t>Filière</w:t>
            </w:r>
          </w:p>
        </w:tc>
        <w:tc>
          <w:tcPr>
            <w:tcW w:type="dxa" w:w="2494"/>
            <w:shd w:val="clear" w:fill="1F3864"/>
          </w:tcPr>
          <w:p>
            <w:pPr>
              <w:spacing w:after="20" w:before="20"/>
            </w:pPr>
            <w:r/>
            <w:r>
              <w:rPr>
                <w:rFonts w:ascii="Arial" w:hAnsi="Arial"/>
                <w:b/>
                <w:color w:val="FFFFFF"/>
                <w:sz w:val="17"/>
              </w:rPr>
              <w:t>Code</w:t>
            </w:r>
          </w:p>
        </w:tc>
        <w:tc>
          <w:tcPr>
            <w:tcW w:type="dxa" w:w="4876"/>
            <w:shd w:val="clear" w:fill="1F3864"/>
          </w:tcPr>
          <w:p>
            <w:pPr>
              <w:spacing w:after="20" w:before="20"/>
            </w:pPr>
            <w:r/>
            <w:r>
              <w:rPr>
                <w:rFonts w:ascii="Arial" w:hAnsi="Arial"/>
                <w:b/>
                <w:color w:val="FFFFFF"/>
                <w:sz w:val="17"/>
              </w:rPr>
              <w:t>Module</w:t>
            </w:r>
          </w:p>
        </w:tc>
        <w:tc>
          <w:tcPr>
            <w:tcW w:type="dxa" w:w="1020"/>
            <w:shd w:val="clear" w:fill="1F3864"/>
          </w:tcPr>
          <w:p>
            <w:pPr>
              <w:spacing w:after="20" w:before="20"/>
            </w:pPr>
            <w:r/>
            <w:r>
              <w:rPr>
                <w:rFonts w:ascii="Arial" w:hAnsi="Arial"/>
                <w:b/>
                <w:color w:val="FFFFFF"/>
                <w:sz w:val="17"/>
              </w:rPr>
              <w:t>Durée</w:t>
            </w:r>
          </w:p>
        </w:tc>
      </w:tr>
      <w:tr>
        <w:tc>
          <w:tcPr>
            <w:tcW w:type="dxa" w:w="1247"/>
          </w:tcPr>
          <w:p>
            <w:pPr>
              <w:spacing w:after="20" w:before="20"/>
            </w:pPr>
            <w:r/>
            <w:r>
              <w:rPr>
                <w:rFonts w:ascii="Arial" w:hAnsi="Arial"/>
                <w:b w:val="0"/>
                <w:sz w:val="17"/>
              </w:rPr>
              <w:t>B2 FS</w:t>
            </w:r>
          </w:p>
        </w:tc>
        <w:tc>
          <w:tcPr>
            <w:tcW w:type="dxa" w:w="2494"/>
          </w:tcPr>
          <w:p>
            <w:pPr>
              <w:spacing w:after="20" w:before="20"/>
            </w:pPr>
            <w:r/>
            <w:r>
              <w:rPr>
                <w:rFonts w:ascii="Arial" w:hAnsi="Arial"/>
                <w:b w:val="0"/>
                <w:sz w:val="17"/>
              </w:rPr>
              <w:t>B2FS-BC01-FM02</w:t>
            </w:r>
          </w:p>
        </w:tc>
        <w:tc>
          <w:tcPr>
            <w:tcW w:type="dxa" w:w="4876"/>
          </w:tcPr>
          <w:p>
            <w:pPr>
              <w:spacing w:after="20" w:before="20"/>
            </w:pPr>
            <w:r/>
            <w:r>
              <w:rPr>
                <w:rFonts w:ascii="Arial" w:hAnsi="Arial"/>
                <w:b w:val="0"/>
                <w:sz w:val="17"/>
              </w:rPr>
              <w:t>UI/UX niveau 2 &amp; Figma avancé</w:t>
            </w:r>
          </w:p>
        </w:tc>
        <w:tc>
          <w:tcPr>
            <w:tcW w:type="dxa" w:w="1020"/>
          </w:tcPr>
          <w:p>
            <w:pPr>
              <w:spacing w:after="20" w:before="20"/>
            </w:pPr>
            <w:r/>
            <w:r>
              <w:rPr>
                <w:rFonts w:ascii="Arial" w:hAnsi="Arial"/>
                <w:b w:val="0"/>
                <w:sz w:val="17"/>
              </w:rPr>
              <w:t>2 j</w:t>
            </w:r>
          </w:p>
        </w:tc>
      </w:tr>
      <w:tr>
        <w:tc>
          <w:tcPr>
            <w:tcW w:type="dxa" w:w="1247"/>
          </w:tcPr>
          <w:p>
            <w:pPr>
              <w:spacing w:after="20" w:before="20"/>
            </w:pPr>
            <w:r/>
            <w:r>
              <w:rPr>
                <w:rFonts w:ascii="Arial" w:hAnsi="Arial"/>
                <w:b w:val="0"/>
                <w:sz w:val="17"/>
              </w:rPr>
              <w:t>B2 FS</w:t>
            </w:r>
          </w:p>
        </w:tc>
        <w:tc>
          <w:tcPr>
            <w:tcW w:type="dxa" w:w="2494"/>
          </w:tcPr>
          <w:p>
            <w:pPr>
              <w:spacing w:after="20" w:before="20"/>
            </w:pPr>
            <w:r/>
            <w:r>
              <w:rPr>
                <w:rFonts w:ascii="Arial" w:hAnsi="Arial"/>
                <w:b w:val="0"/>
                <w:sz w:val="17"/>
              </w:rPr>
              <w:t>B2FS-BC01-FM04</w:t>
            </w:r>
          </w:p>
        </w:tc>
        <w:tc>
          <w:tcPr>
            <w:tcW w:type="dxa" w:w="4876"/>
          </w:tcPr>
          <w:p>
            <w:pPr>
              <w:spacing w:after="20" w:before="20"/>
            </w:pPr>
            <w:r/>
            <w:r>
              <w:rPr>
                <w:rFonts w:ascii="Arial" w:hAnsi="Arial"/>
                <w:b w:val="0"/>
                <w:sz w:val="17"/>
              </w:rPr>
              <w:t>PWA &amp; développement mobile cross-platform</w:t>
            </w:r>
          </w:p>
        </w:tc>
        <w:tc>
          <w:tcPr>
            <w:tcW w:type="dxa" w:w="1020"/>
          </w:tcPr>
          <w:p>
            <w:pPr>
              <w:spacing w:after="20" w:before="20"/>
            </w:pPr>
            <w:r/>
            <w:r>
              <w:rPr>
                <w:rFonts w:ascii="Arial" w:hAnsi="Arial"/>
                <w:b w:val="0"/>
                <w:sz w:val="17"/>
              </w:rPr>
              <w:t>2 j</w:t>
            </w:r>
          </w:p>
        </w:tc>
      </w:tr>
      <w:tr>
        <w:tc>
          <w:tcPr>
            <w:tcW w:type="dxa" w:w="1247"/>
          </w:tcPr>
          <w:p>
            <w:pPr>
              <w:spacing w:after="20" w:before="20"/>
            </w:pPr>
            <w:r/>
            <w:r>
              <w:rPr>
                <w:rFonts w:ascii="Arial" w:hAnsi="Arial"/>
                <w:b w:val="0"/>
                <w:sz w:val="17"/>
              </w:rPr>
              <w:t>B2 FS</w:t>
            </w:r>
          </w:p>
        </w:tc>
        <w:tc>
          <w:tcPr>
            <w:tcW w:type="dxa" w:w="2494"/>
          </w:tcPr>
          <w:p>
            <w:pPr>
              <w:spacing w:after="20" w:before="20"/>
            </w:pPr>
            <w:r/>
            <w:r>
              <w:rPr>
                <w:rFonts w:ascii="Arial" w:hAnsi="Arial"/>
                <w:b w:val="0"/>
                <w:sz w:val="17"/>
              </w:rPr>
              <w:t>B2FS-BC03-FM05</w:t>
            </w:r>
          </w:p>
        </w:tc>
        <w:tc>
          <w:tcPr>
            <w:tcW w:type="dxa" w:w="4876"/>
          </w:tcPr>
          <w:p>
            <w:pPr>
              <w:spacing w:after="20" w:before="20"/>
            </w:pPr>
            <w:r/>
            <w:r>
              <w:rPr>
                <w:rFonts w:ascii="Arial" w:hAnsi="Arial"/>
                <w:b w:val="0"/>
                <w:sz w:val="17"/>
              </w:rPr>
              <w:t>AIOps &amp; monitoring intelligent</w:t>
            </w:r>
          </w:p>
        </w:tc>
        <w:tc>
          <w:tcPr>
            <w:tcW w:type="dxa" w:w="1020"/>
          </w:tcPr>
          <w:p>
            <w:pPr>
              <w:spacing w:after="20" w:before="20"/>
            </w:pPr>
            <w:r/>
            <w:r>
              <w:rPr>
                <w:rFonts w:ascii="Arial" w:hAnsi="Arial"/>
                <w:b w:val="0"/>
                <w:sz w:val="17"/>
              </w:rPr>
              <w:t>1 j</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ces chiffres ont changé dans le projet</w:t>
            </w:r>
          </w:p>
        </w:tc>
      </w:tr>
      <w:tr>
        <w:tc>
          <w:tcPr>
            <w:tcW w:type="dxa" w:w="9752"/>
          </w:tcPr>
          <w:p>
            <w:pPr>
              <w:spacing w:after="60" w:before="20"/>
            </w:pPr>
            <w:r/>
            <w:r>
              <w:rPr>
                <w:rFonts w:ascii="Arial" w:hAnsi="Arial"/>
                <w:b w:val="0"/>
                <w:sz w:val="18"/>
              </w:rPr>
              <w:t>La collecte n'a pas seulement alimenté un planning. Elle a produit un constat que rien d'autre ne donnait : trois modules du parcours Full Stack, tous récents et tous tournés vers des pratiques que l'équipe n'exerce pas encore, ne trouvent aucun formateur déclarant une maîtrise suffisante. Trois autres ne reposent que sur une seule personne, ce qui expose le planning au moindre désistement. Ce constat a fondé le plan prévisionnel des besoins en formateurs pour l'année suivante, qui n'était au départ qu'une ligne de la fiche de poste sans contenu.</w:t>
            </w:r>
          </w:p>
          <w:p>
            <w:pPr>
              <w:spacing w:after="60"/>
            </w:pPr>
            <w:r>
              <w:rPr>
                <w:rFonts w:ascii="Arial" w:hAnsi="Arial"/>
                <w:b w:val="0"/>
                <w:sz w:val="18"/>
              </w:rPr>
              <w:t>Il a aussi déplacé la façon dont les formateurs perçoivent l'outil. Déclarer ses disponibilités est une contrainte ; découvrir que sa déclaration décide de son planning en fait un intérêt. C'est ce renversement, plus que la relance, qui explique le taux de réponse obtenu.</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Protection des données personnelles</w:t>
            </w:r>
          </w:p>
        </w:tc>
      </w:tr>
      <w:tr>
        <w:tc>
          <w:tcPr>
            <w:tcW w:type="dxa" w:w="9752"/>
          </w:tcPr>
          <w:p>
            <w:pPr>
              <w:spacing w:after="60" w:before="20"/>
            </w:pPr>
            <w:r/>
            <w:r>
              <w:rPr>
                <w:rFonts w:ascii="Arial" w:hAnsi="Arial"/>
                <w:b w:val="0"/>
                <w:sz w:val="18"/>
              </w:rPr>
              <w:t>L'export d'origine porte le nom de chaque formateur. La version versée au dossier remplace chaque nom par un identifiant stable, et ne comporte ni adresse de messagerie ni coordonnée. Les résultats présentés ici sont agrégés : aucune déclaration individuelle n'est reproduite.</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Collecte des formateurs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