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none"/>
          <w:left w:val="none"/>
          <w:bottom w:val="none"/>
          <w:right w:val="none"/>
          <w:insideH w:val="none"/>
          <w:insideV w:val="none"/>
        </w:tblBorders>
      </w:tblPr>
      <w:tblGrid>
        <w:gridCol w:w="9752"/>
      </w:tblGrid>
      <w:tr>
        <w:tc>
          <w:tcPr>
            <w:tcW w:type="dxa" w:w="9752"/>
            <w:shd w:val="clear" w:fill="1F3864"/>
          </w:tcPr>
          <w:p>
            <w:pPr>
              <w:spacing w:after="0" w:before="20"/>
              <w:jc w:val="center"/>
            </w:pPr>
            <w:r/>
            <w:r>
              <w:rPr>
                <w:rFonts w:ascii="Arial" w:hAnsi="Arial"/>
                <w:b/>
                <w:color w:val="FFFFFF"/>
                <w:sz w:val="32"/>
              </w:rPr>
              <w:t>Plan de communication</w:t>
            </w:r>
          </w:p>
          <w:p>
            <w:pPr>
              <w:spacing w:after="40"/>
              <w:jc w:val="center"/>
            </w:pPr>
            <w:r>
              <w:rPr>
                <w:rFonts w:ascii="Arial" w:hAnsi="Arial"/>
                <w:color w:val="D5DDEC"/>
                <w:sz w:val="20"/>
              </w:rPr>
              <w:t>Acteurs, messages, canaux et rythme · Structuration des parcours B1/B2</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608"/>
        <w:gridCol w:w="7143"/>
      </w:tblGrid>
      <w:tr>
        <w:tc>
          <w:tcPr>
            <w:tcW w:type="dxa" w:w="2608"/>
            <w:shd w:val="clear" w:fill="EAEFF7"/>
          </w:tcPr>
          <w:p>
            <w:pPr>
              <w:spacing w:after="40" w:before="20"/>
            </w:pPr>
            <w:r/>
            <w:r>
              <w:rPr>
                <w:rFonts w:ascii="Arial" w:hAnsi="Arial"/>
                <w:b/>
                <w:color w:val="1F3864"/>
                <w:sz w:val="18"/>
              </w:rPr>
              <w:t>Nom / Code projet</w:t>
            </w:r>
          </w:p>
        </w:tc>
        <w:tc>
          <w:tcPr>
            <w:tcW w:type="dxa" w:w="7143"/>
          </w:tcPr>
          <w:p>
            <w:pPr>
              <w:spacing w:after="40" w:before="20"/>
            </w:pPr>
            <w:r/>
            <w:r>
              <w:rPr>
                <w:rFonts w:ascii="Arial" w:hAnsi="Arial"/>
                <w:b w:val="0"/>
                <w:sz w:val="18"/>
              </w:rPr>
              <w:t>Structuration des parcours B1/B2  ·  B1B2-2026</w:t>
            </w:r>
          </w:p>
        </w:tc>
      </w:tr>
      <w:tr>
        <w:tc>
          <w:tcPr>
            <w:tcW w:type="dxa" w:w="2608"/>
            <w:shd w:val="clear" w:fill="EAEFF7"/>
          </w:tcPr>
          <w:p>
            <w:pPr>
              <w:spacing w:after="40" w:before="20"/>
            </w:pPr>
            <w:r/>
            <w:r>
              <w:rPr>
                <w:rFonts w:ascii="Arial" w:hAnsi="Arial"/>
                <w:b/>
                <w:color w:val="1F3864"/>
                <w:sz w:val="18"/>
              </w:rPr>
              <w:t>Référence</w:t>
            </w:r>
          </w:p>
        </w:tc>
        <w:tc>
          <w:tcPr>
            <w:tcW w:type="dxa" w:w="7143"/>
          </w:tcPr>
          <w:p>
            <w:pPr>
              <w:spacing w:after="40" w:before="20"/>
            </w:pPr>
            <w:r/>
            <w:r>
              <w:rPr>
                <w:rFonts w:ascii="Arial" w:hAnsi="Arial"/>
                <w:b w:val="0"/>
                <w:sz w:val="18"/>
              </w:rPr>
              <w:t>Registre des parties prenantes · Fiche de poste : harmonisation et ingénierie des parcours B1/B2</w:t>
            </w:r>
          </w:p>
        </w:tc>
      </w:tr>
      <w:tr>
        <w:tc>
          <w:tcPr>
            <w:tcW w:type="dxa" w:w="2608"/>
            <w:shd w:val="clear" w:fill="EAEFF7"/>
          </w:tcPr>
          <w:p>
            <w:pPr>
              <w:spacing w:after="40" w:before="20"/>
            </w:pPr>
            <w:r/>
            <w:r>
              <w:rPr>
                <w:rFonts w:ascii="Arial" w:hAnsi="Arial"/>
                <w:b/>
                <w:color w:val="1F3864"/>
                <w:sz w:val="18"/>
              </w:rPr>
              <w:t>Rédacteur</w:t>
            </w:r>
          </w:p>
        </w:tc>
        <w:tc>
          <w:tcPr>
            <w:tcW w:type="dxa" w:w="7143"/>
          </w:tcPr>
          <w:p>
            <w:pPr>
              <w:spacing w:after="40" w:before="20"/>
            </w:pPr>
            <w:r/>
            <w:r>
              <w:rPr>
                <w:rFonts w:ascii="Arial" w:hAnsi="Arial"/>
                <w:b w:val="0"/>
                <w:sz w:val="18"/>
              </w:rPr>
              <w:t>Mohamed EL AFRIT, chargé de missions pédagogiques</w:t>
            </w:r>
          </w:p>
        </w:tc>
      </w:tr>
      <w:tr>
        <w:tc>
          <w:tcPr>
            <w:tcW w:type="dxa" w:w="2608"/>
            <w:shd w:val="clear" w:fill="EAEFF7"/>
          </w:tcPr>
          <w:p>
            <w:pPr>
              <w:spacing w:after="40" w:before="20"/>
            </w:pPr>
            <w:r/>
            <w:r>
              <w:rPr>
                <w:rFonts w:ascii="Arial" w:hAnsi="Arial"/>
                <w:b/>
                <w:color w:val="1F3864"/>
                <w:sz w:val="18"/>
              </w:rPr>
              <w:t>Portée</w:t>
            </w:r>
          </w:p>
        </w:tc>
        <w:tc>
          <w:tcPr>
            <w:tcW w:type="dxa" w:w="7143"/>
          </w:tcPr>
          <w:p>
            <w:pPr>
              <w:spacing w:after="40" w:before="20"/>
            </w:pPr>
            <w:r/>
            <w:r>
              <w:rPr>
                <w:rFonts w:ascii="Arial" w:hAnsi="Arial"/>
                <w:b w:val="0"/>
                <w:sz w:val="18"/>
              </w:rPr>
              <w:t>Communication interne du projet, de son lancement à la mise en service</w:t>
            </w:r>
          </w:p>
        </w:tc>
      </w:tr>
    </w:tbl>
    <w:p>
      <w:pPr>
        <w:spacing w:before="0" w:after="80"/>
      </w:pPr>
    </w:p>
    <w:p>
      <w:pPr>
        <w:spacing w:before="40" w:after="60"/>
      </w:pPr>
      <w:r>
        <w:rPr>
          <w:rFonts w:ascii="Arial" w:hAnsi="Arial"/>
          <w:b/>
          <w:i w:val="0"/>
          <w:color w:val="1F3864"/>
          <w:sz w:val="20"/>
        </w:rPr>
        <w:t>Historique du document</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c>
          <w:tcPr>
            <w:tcW w:type="dxa" w:w="907"/>
            <w:shd w:val="clear" w:fill="1F3864"/>
          </w:tcPr>
          <w:p>
            <w:pPr>
              <w:spacing w:after="40" w:before="20"/>
            </w:pPr>
            <w:r/>
            <w:r>
              <w:rPr>
                <w:rFonts w:ascii="Arial" w:hAnsi="Arial"/>
                <w:b/>
                <w:color w:val="FFFFFF"/>
                <w:sz w:val="18"/>
              </w:rPr>
              <w:t>Version</w:t>
            </w:r>
          </w:p>
        </w:tc>
        <w:tc>
          <w:tcPr>
            <w:tcW w:type="dxa" w:w="2494"/>
            <w:shd w:val="clear" w:fill="1F3864"/>
          </w:tcPr>
          <w:p>
            <w:pPr>
              <w:spacing w:after="40" w:before="20"/>
            </w:pPr>
            <w:r/>
            <w:r>
              <w:rPr>
                <w:rFonts w:ascii="Arial" w:hAnsi="Arial"/>
                <w:b/>
                <w:color w:val="FFFFFF"/>
                <w:sz w:val="18"/>
              </w:rPr>
              <w:t>Auteur</w:t>
            </w:r>
          </w:p>
        </w:tc>
        <w:tc>
          <w:tcPr>
            <w:tcW w:type="dxa" w:w="4649"/>
            <w:shd w:val="clear" w:fill="1F3864"/>
          </w:tcPr>
          <w:p>
            <w:pPr>
              <w:spacing w:after="40" w:before="20"/>
            </w:pPr>
            <w:r/>
            <w:r>
              <w:rPr>
                <w:rFonts w:ascii="Arial" w:hAnsi="Arial"/>
                <w:b/>
                <w:color w:val="FFFFFF"/>
                <w:sz w:val="18"/>
              </w:rPr>
              <w:t>Description</w:t>
            </w:r>
          </w:p>
        </w:tc>
        <w:tc>
          <w:tcPr>
            <w:tcW w:type="dxa" w:w="1701"/>
            <w:shd w:val="clear" w:fill="1F3864"/>
          </w:tcPr>
          <w:p>
            <w:pPr>
              <w:spacing w:after="40" w:before="20"/>
            </w:pPr>
            <w:r/>
            <w:r>
              <w:rPr>
                <w:rFonts w:ascii="Arial" w:hAnsi="Arial"/>
                <w:b/>
                <w:color w:val="FFFFFF"/>
                <w:sz w:val="18"/>
              </w:rPr>
              <w:t>Date</w:t>
            </w:r>
          </w:p>
        </w:tc>
      </w:tr>
      <w:tr>
        <w:tc>
          <w:tcPr>
            <w:tcW w:type="dxa" w:w="907"/>
          </w:tcPr>
          <w:p>
            <w:pPr>
              <w:spacing w:after="40" w:before="20"/>
            </w:pPr>
            <w:r/>
            <w:r>
              <w:rPr>
                <w:rFonts w:ascii="Arial" w:hAnsi="Arial"/>
                <w:b w:val="0"/>
                <w:sz w:val="18"/>
              </w:rPr>
              <w:t>V1.0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Premier plan, adossé au registre des parties prenantes</w:t>
            </w:r>
          </w:p>
        </w:tc>
        <w:tc>
          <w:tcPr>
            <w:tcW w:type="dxa" w:w="1701"/>
          </w:tcPr>
          <w:p>
            <w:pPr>
              <w:spacing w:after="40" w:before="20"/>
            </w:pPr>
            <w:r/>
            <w:r>
              <w:rPr>
                <w:rFonts w:ascii="Arial" w:hAnsi="Arial"/>
                <w:b w:val="0"/>
                <w:sz w:val="18"/>
              </w:rPr>
              <w:t>06/04/2026</w:t>
            </w:r>
          </w:p>
        </w:tc>
      </w:tr>
      <w:tr>
        <w:tc>
          <w:tcPr>
            <w:tcW w:type="dxa" w:w="907"/>
          </w:tcPr>
          <w:p>
            <w:pPr>
              <w:spacing w:after="40" w:before="20"/>
            </w:pPr>
            <w:r/>
            <w:r>
              <w:rPr>
                <w:rFonts w:ascii="Arial" w:hAnsi="Arial"/>
                <w:b w:val="0"/>
                <w:sz w:val="18"/>
              </w:rPr>
              <w:t>V1.1</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Relances individuelles ajoutées après les premières réponses partielles</w:t>
            </w:r>
          </w:p>
        </w:tc>
        <w:tc>
          <w:tcPr>
            <w:tcW w:type="dxa" w:w="1701"/>
          </w:tcPr>
          <w:p>
            <w:pPr>
              <w:spacing w:after="40" w:before="20"/>
            </w:pPr>
            <w:r/>
            <w:r>
              <w:rPr>
                <w:rFonts w:ascii="Arial" w:hAnsi="Arial"/>
                <w:b w:val="0"/>
                <w:sz w:val="18"/>
              </w:rPr>
              <w:t>20/04/2026</w:t>
            </w:r>
          </w:p>
        </w:tc>
      </w:tr>
      <w:tr>
        <w:tc>
          <w:tcPr>
            <w:tcW w:type="dxa" w:w="907"/>
          </w:tcPr>
          <w:p>
            <w:pPr>
              <w:spacing w:after="40" w:before="20"/>
            </w:pPr>
            <w:r/>
            <w:r>
              <w:rPr>
                <w:rFonts w:ascii="Arial" w:hAnsi="Arial"/>
                <w:b w:val="0"/>
                <w:sz w:val="18"/>
              </w:rPr>
              <w:t>V2.0</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Message repensé : la déclaration décide du planning</w:t>
            </w:r>
          </w:p>
        </w:tc>
        <w:tc>
          <w:tcPr>
            <w:tcW w:type="dxa" w:w="1701"/>
          </w:tcPr>
          <w:p>
            <w:pPr>
              <w:spacing w:after="40" w:before="20"/>
            </w:pPr>
            <w:r/>
            <w:r>
              <w:rPr>
                <w:rFonts w:ascii="Arial" w:hAnsi="Arial"/>
                <w:b w:val="0"/>
                <w:sz w:val="18"/>
              </w:rPr>
              <w:t>15/05/2026</w:t>
            </w:r>
          </w:p>
        </w:tc>
      </w:tr>
      <w:tr>
        <w:tc>
          <w:tcPr>
            <w:tcW w:type="dxa" w:w="907"/>
          </w:tcPr>
          <w:p>
            <w:pPr>
              <w:spacing w:after="40" w:before="20"/>
            </w:pPr>
            <w:r/>
            <w:r>
              <w:rPr>
                <w:rFonts w:ascii="Arial" w:hAnsi="Arial"/>
                <w:b w:val="0"/>
                <w:sz w:val="18"/>
              </w:rPr>
              <w:t>V2.1</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Communication interne confiée à la responsable pédagogique</w:t>
            </w:r>
          </w:p>
        </w:tc>
        <w:tc>
          <w:tcPr>
            <w:tcW w:type="dxa" w:w="1701"/>
          </w:tcPr>
          <w:p>
            <w:pPr>
              <w:spacing w:after="40" w:before="20"/>
            </w:pPr>
            <w:r/>
            <w:r>
              <w:rPr>
                <w:rFonts w:ascii="Arial" w:hAnsi="Arial"/>
                <w:b w:val="0"/>
                <w:sz w:val="18"/>
              </w:rPr>
              <w:t>30/06/2026</w:t>
            </w:r>
          </w:p>
        </w:tc>
      </w:tr>
      <w:tr>
        <w:tc>
          <w:tcPr>
            <w:tcW w:type="dxa" w:w="907"/>
          </w:tcPr>
          <w:p>
            <w:pPr>
              <w:spacing w:after="40" w:before="20"/>
            </w:pPr>
            <w:r/>
            <w:r>
              <w:rPr>
                <w:rFonts w:ascii="Arial" w:hAnsi="Arial"/>
                <w:b w:val="0"/>
                <w:sz w:val="18"/>
              </w:rPr>
              <w:t>V2.2</w:t>
            </w:r>
          </w:p>
        </w:tc>
        <w:tc>
          <w:tcPr>
            <w:tcW w:type="dxa" w:w="2494"/>
          </w:tcPr>
          <w:p>
            <w:pPr>
              <w:spacing w:after="40" w:before="20"/>
            </w:pPr>
            <w:r/>
            <w:r>
              <w:rPr>
                <w:rFonts w:ascii="Arial" w:hAnsi="Arial"/>
                <w:b w:val="0"/>
                <w:sz w:val="18"/>
              </w:rPr>
              <w:t>Mohamed EL AFRIT</w:t>
            </w:r>
          </w:p>
        </w:tc>
        <w:tc>
          <w:tcPr>
            <w:tcW w:type="dxa" w:w="4649"/>
          </w:tcPr>
          <w:p>
            <w:pPr>
              <w:spacing w:after="40" w:before="20"/>
            </w:pPr>
            <w:r/>
            <w:r>
              <w:rPr>
                <w:rFonts w:ascii="Arial" w:hAnsi="Arial"/>
                <w:b w:val="0"/>
                <w:sz w:val="18"/>
              </w:rPr>
              <w:t>Consolidation de clôture</w:t>
            </w:r>
          </w:p>
        </w:tc>
        <w:tc>
          <w:tcPr>
            <w:tcW w:type="dxa" w:w="1701"/>
          </w:tcPr>
          <w:p>
            <w:pPr>
              <w:spacing w:after="40" w:before="20"/>
            </w:pPr>
            <w:r/>
            <w:r>
              <w:rPr>
                <w:rFonts w:ascii="Arial" w:hAnsi="Arial"/>
                <w:b w:val="0"/>
                <w:sz w:val="18"/>
              </w:rPr>
              <w:t>20/08/2026</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Objectifs de communication</w:t>
            </w:r>
          </w:p>
        </w:tc>
      </w:tr>
      <w:tr>
        <w:tc>
          <w:tcPr>
            <w:tcW w:type="dxa" w:w="9752"/>
          </w:tcPr>
          <w:p>
            <w:pPr>
              <w:spacing w:after="60" w:before="20"/>
            </w:pPr>
            <w:r/>
            <w:r>
              <w:rPr>
                <w:rFonts w:ascii="Arial" w:hAnsi="Arial"/>
                <w:b w:val="0"/>
                <w:sz w:val="19"/>
              </w:rPr>
              <w:t>Trois objectifs, dans cet ordre. Faire savoir que le projet existe et ce qu'il change, auprès de formateurs qui n'en ont pas été à l'origine. Obtenir des contributions : sans les déclarations des formateurs et sans leurs retours sur les fiches, le cadre resterait théorique. Rendre les arbitrages lisibles, pour que les décisions prises ne soient pas découvertes à la rentrée. La contrainte de fond commande le reste : le chef de projet n'a aucune autorité hiérarchique sur les destinataires.</w:t>
            </w:r>
          </w:p>
        </w:tc>
      </w:tr>
    </w:tbl>
    <w:p>
      <w:pPr>
        <w:spacing w:before="0" w:after="120"/>
      </w:pPr>
    </w:p>
    <w:p>
      <w:pPr>
        <w:spacing w:before="40" w:after="60"/>
      </w:pPr>
      <w:r>
        <w:rPr>
          <w:rFonts w:ascii="Arial" w:hAnsi="Arial"/>
          <w:b/>
          <w:i w:val="0"/>
          <w:color w:val="1F3864"/>
          <w:sz w:val="20"/>
        </w:rPr>
        <w:t>Stratégie par groupe d'acteurs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1950"/>
        <w:gridCol w:w="1950"/>
        <w:gridCol w:w="1950"/>
        <w:gridCol w:w="1950"/>
        <w:gridCol w:w="1950"/>
      </w:tblGrid>
      <w:tr>
        <w:trPr>
          <w:tblHeader w:val="true"/>
        </w:trPr>
        <w:tc>
          <w:tcPr>
            <w:tcW w:type="dxa" w:w="2041"/>
            <w:shd w:val="clear" w:fill="1F3864"/>
          </w:tcPr>
          <w:p>
            <w:pPr>
              <w:spacing w:after="20" w:before="20"/>
            </w:pPr>
            <w:r/>
            <w:r>
              <w:rPr>
                <w:rFonts w:ascii="Arial" w:hAnsi="Arial"/>
                <w:b/>
                <w:color w:val="FFFFFF"/>
                <w:sz w:val="16"/>
              </w:rPr>
              <w:t>Groupe</w:t>
            </w:r>
          </w:p>
        </w:tc>
        <w:tc>
          <w:tcPr>
            <w:tcW w:type="dxa" w:w="2041"/>
            <w:shd w:val="clear" w:fill="1F3864"/>
          </w:tcPr>
          <w:p>
            <w:pPr>
              <w:spacing w:after="20" w:before="20"/>
            </w:pPr>
            <w:r/>
            <w:r>
              <w:rPr>
                <w:rFonts w:ascii="Arial" w:hAnsi="Arial"/>
                <w:b/>
                <w:color w:val="FFFFFF"/>
                <w:sz w:val="16"/>
              </w:rPr>
              <w:t>Enjeu de communication</w:t>
            </w:r>
          </w:p>
        </w:tc>
        <w:tc>
          <w:tcPr>
            <w:tcW w:type="dxa" w:w="2494"/>
            <w:shd w:val="clear" w:fill="1F3864"/>
          </w:tcPr>
          <w:p>
            <w:pPr>
              <w:spacing w:after="20" w:before="20"/>
            </w:pPr>
            <w:r/>
            <w:r>
              <w:rPr>
                <w:rFonts w:ascii="Arial" w:hAnsi="Arial"/>
                <w:b/>
                <w:color w:val="FFFFFF"/>
                <w:sz w:val="16"/>
              </w:rPr>
              <w:t>Message principal</w:t>
            </w:r>
          </w:p>
        </w:tc>
        <w:tc>
          <w:tcPr>
            <w:tcW w:type="dxa" w:w="1928"/>
            <w:shd w:val="clear" w:fill="1F3864"/>
          </w:tcPr>
          <w:p>
            <w:pPr>
              <w:spacing w:after="20" w:before="20"/>
            </w:pPr>
            <w:r/>
            <w:r>
              <w:rPr>
                <w:rFonts w:ascii="Arial" w:hAnsi="Arial"/>
                <w:b/>
                <w:color w:val="FFFFFF"/>
                <w:sz w:val="16"/>
              </w:rPr>
              <w:t>Canal</w:t>
            </w:r>
          </w:p>
        </w:tc>
        <w:tc>
          <w:tcPr>
            <w:tcW w:type="dxa" w:w="1247"/>
            <w:shd w:val="clear" w:fill="1F3864"/>
          </w:tcPr>
          <w:p>
            <w:pPr>
              <w:spacing w:after="20" w:before="20"/>
            </w:pPr>
            <w:r/>
            <w:r>
              <w:rPr>
                <w:rFonts w:ascii="Arial" w:hAnsi="Arial"/>
                <w:b/>
                <w:color w:val="FFFFFF"/>
                <w:sz w:val="16"/>
              </w:rPr>
              <w:t>Rythme</w:t>
            </w:r>
          </w:p>
        </w:tc>
      </w:tr>
      <w:tr>
        <w:tc>
          <w:tcPr>
            <w:tcW w:type="dxa" w:w="2041"/>
          </w:tcPr>
          <w:p>
            <w:pPr>
              <w:spacing w:after="20" w:before="20"/>
            </w:pPr>
            <w:r/>
            <w:r>
              <w:rPr>
                <w:rFonts w:ascii="Arial" w:hAnsi="Arial"/>
                <w:b w:val="0"/>
                <w:sz w:val="16"/>
              </w:rPr>
              <w:t>Acteurs clés</w:t>
            </w:r>
          </w:p>
          <w:p>
            <w:pPr>
              <w:spacing w:after="20"/>
            </w:pPr>
            <w:r>
              <w:rPr>
                <w:rFonts w:ascii="Arial" w:hAnsi="Arial"/>
                <w:b w:val="0"/>
                <w:sz w:val="16"/>
              </w:rPr>
              <w:t>Direction, responsable pédagogique</w:t>
            </w:r>
          </w:p>
        </w:tc>
        <w:tc>
          <w:tcPr>
            <w:tcW w:type="dxa" w:w="2041"/>
          </w:tcPr>
          <w:p>
            <w:pPr>
              <w:spacing w:after="20" w:before="20"/>
            </w:pPr>
            <w:r/>
            <w:r>
              <w:rPr>
                <w:rFonts w:ascii="Arial" w:hAnsi="Arial"/>
                <w:b w:val="0"/>
                <w:sz w:val="16"/>
              </w:rPr>
              <w:t>Décider et arbitrer sur des éléments à jour</w:t>
            </w:r>
          </w:p>
        </w:tc>
        <w:tc>
          <w:tcPr>
            <w:tcW w:type="dxa" w:w="2494"/>
          </w:tcPr>
          <w:p>
            <w:pPr>
              <w:spacing w:after="20" w:before="20"/>
            </w:pPr>
            <w:r/>
            <w:r>
              <w:rPr>
                <w:rFonts w:ascii="Arial" w:hAnsi="Arial"/>
                <w:b w:val="0"/>
                <w:sz w:val="16"/>
              </w:rPr>
              <w:t>Voici l'avancement, voici ce qui appelle un arbitrage</w:t>
            </w:r>
          </w:p>
        </w:tc>
        <w:tc>
          <w:tcPr>
            <w:tcW w:type="dxa" w:w="1928"/>
          </w:tcPr>
          <w:p>
            <w:pPr>
              <w:spacing w:after="20" w:before="20"/>
            </w:pPr>
            <w:r/>
            <w:r>
              <w:rPr>
                <w:rFonts w:ascii="Arial" w:hAnsi="Arial"/>
                <w:b w:val="0"/>
                <w:sz w:val="16"/>
              </w:rPr>
              <w:t>Point hebdomadaire, comité de pilotage aux jalons</w:t>
            </w:r>
          </w:p>
        </w:tc>
        <w:tc>
          <w:tcPr>
            <w:tcW w:type="dxa" w:w="1247"/>
          </w:tcPr>
          <w:p>
            <w:pPr>
              <w:spacing w:after="20" w:before="20"/>
            </w:pPr>
            <w:r/>
            <w:r>
              <w:rPr>
                <w:rFonts w:ascii="Arial" w:hAnsi="Arial"/>
                <w:b w:val="0"/>
                <w:sz w:val="16"/>
              </w:rPr>
              <w:t>Hebdomadaire et aux jalons</w:t>
            </w:r>
          </w:p>
        </w:tc>
      </w:tr>
      <w:tr>
        <w:tc>
          <w:tcPr>
            <w:tcW w:type="dxa" w:w="2041"/>
          </w:tcPr>
          <w:p>
            <w:pPr>
              <w:spacing w:after="20" w:before="20"/>
            </w:pPr>
            <w:r/>
            <w:r>
              <w:rPr>
                <w:rFonts w:ascii="Arial" w:hAnsi="Arial"/>
                <w:b w:val="0"/>
                <w:sz w:val="16"/>
              </w:rPr>
              <w:t>Acteurs du projet</w:t>
            </w:r>
          </w:p>
          <w:p>
            <w:pPr>
              <w:spacing w:after="20"/>
            </w:pPr>
            <w:r>
              <w:rPr>
                <w:rFonts w:ascii="Arial" w:hAnsi="Arial"/>
                <w:b w:val="0"/>
                <w:sz w:val="16"/>
              </w:rPr>
              <w:t>Formateurs contributeurs, assistant pédagogique</w:t>
            </w:r>
          </w:p>
        </w:tc>
        <w:tc>
          <w:tcPr>
            <w:tcW w:type="dxa" w:w="2041"/>
          </w:tcPr>
          <w:p>
            <w:pPr>
              <w:spacing w:after="20" w:before="20"/>
            </w:pPr>
            <w:r/>
            <w:r>
              <w:rPr>
                <w:rFonts w:ascii="Arial" w:hAnsi="Arial"/>
                <w:b w:val="0"/>
                <w:sz w:val="16"/>
              </w:rPr>
              <w:t>Obtenir des contributions et les intégrer visiblement</w:t>
            </w:r>
          </w:p>
        </w:tc>
        <w:tc>
          <w:tcPr>
            <w:tcW w:type="dxa" w:w="2494"/>
          </w:tcPr>
          <w:p>
            <w:pPr>
              <w:spacing w:after="20" w:before="20"/>
            </w:pPr>
            <w:r/>
            <w:r>
              <w:rPr>
                <w:rFonts w:ascii="Arial" w:hAnsi="Arial"/>
                <w:b w:val="0"/>
                <w:sz w:val="16"/>
              </w:rPr>
              <w:t>Vos contenus entrent dans les fiches, votre déclaration décide de votre planning</w:t>
            </w:r>
          </w:p>
        </w:tc>
        <w:tc>
          <w:tcPr>
            <w:tcW w:type="dxa" w:w="1928"/>
          </w:tcPr>
          <w:p>
            <w:pPr>
              <w:spacing w:after="20" w:before="20"/>
            </w:pPr>
            <w:r/>
            <w:r>
              <w:rPr>
                <w:rFonts w:ascii="Arial" w:hAnsi="Arial"/>
                <w:b w:val="0"/>
                <w:sz w:val="16"/>
              </w:rPr>
              <w:t>Comité pédagogique, consultation individuelle, application</w:t>
            </w:r>
          </w:p>
        </w:tc>
        <w:tc>
          <w:tcPr>
            <w:tcW w:type="dxa" w:w="1247"/>
          </w:tcPr>
          <w:p>
            <w:pPr>
              <w:spacing w:after="20" w:before="20"/>
            </w:pPr>
            <w:r/>
            <w:r>
              <w:rPr>
                <w:rFonts w:ascii="Arial" w:hAnsi="Arial"/>
                <w:b w:val="0"/>
                <w:sz w:val="16"/>
              </w:rPr>
              <w:t>Mensuel et à la demande</w:t>
            </w:r>
          </w:p>
        </w:tc>
      </w:tr>
      <w:tr>
        <w:tc>
          <w:tcPr>
            <w:tcW w:type="dxa" w:w="2041"/>
          </w:tcPr>
          <w:p>
            <w:pPr>
              <w:spacing w:after="20" w:before="20"/>
            </w:pPr>
            <w:r/>
            <w:r>
              <w:rPr>
                <w:rFonts w:ascii="Arial" w:hAnsi="Arial"/>
                <w:b w:val="0"/>
                <w:sz w:val="16"/>
              </w:rPr>
              <w:t>Acteurs attentifs</w:t>
            </w:r>
          </w:p>
          <w:p>
            <w:pPr>
              <w:spacing w:after="20"/>
            </w:pPr>
            <w:r>
              <w:rPr>
                <w:rFonts w:ascii="Arial" w:hAnsi="Arial"/>
                <w:b w:val="0"/>
                <w:sz w:val="16"/>
              </w:rPr>
              <w:t>Formateurs à convaincre, certificateur</w:t>
            </w:r>
          </w:p>
        </w:tc>
        <w:tc>
          <w:tcPr>
            <w:tcW w:type="dxa" w:w="2041"/>
          </w:tcPr>
          <w:p>
            <w:pPr>
              <w:spacing w:after="20" w:before="20"/>
            </w:pPr>
            <w:r/>
            <w:r>
              <w:rPr>
                <w:rFonts w:ascii="Arial" w:hAnsi="Arial"/>
                <w:b w:val="0"/>
                <w:sz w:val="16"/>
              </w:rPr>
              <w:t>Lever les réserves avant qu'elles ne deviennent des refus</w:t>
            </w:r>
          </w:p>
        </w:tc>
        <w:tc>
          <w:tcPr>
            <w:tcW w:type="dxa" w:w="2494"/>
          </w:tcPr>
          <w:p>
            <w:pPr>
              <w:spacing w:after="20" w:before="20"/>
            </w:pPr>
            <w:r/>
            <w:r>
              <w:rPr>
                <w:rFonts w:ascii="Arial" w:hAnsi="Arial"/>
                <w:b w:val="0"/>
                <w:sz w:val="16"/>
              </w:rPr>
              <w:t>Le cadre ne remplace pas votre pédagogie, il la rend lisible</w:t>
            </w:r>
          </w:p>
        </w:tc>
        <w:tc>
          <w:tcPr>
            <w:tcW w:type="dxa" w:w="1928"/>
          </w:tcPr>
          <w:p>
            <w:pPr>
              <w:spacing w:after="20" w:before="20"/>
            </w:pPr>
            <w:r/>
            <w:r>
              <w:rPr>
                <w:rFonts w:ascii="Arial" w:hAnsi="Arial"/>
                <w:b w:val="0"/>
                <w:sz w:val="16"/>
              </w:rPr>
              <w:t>Entretien individuel, revue d'expert</w:t>
            </w:r>
          </w:p>
        </w:tc>
        <w:tc>
          <w:tcPr>
            <w:tcW w:type="dxa" w:w="1247"/>
          </w:tcPr>
          <w:p>
            <w:pPr>
              <w:spacing w:after="20" w:before="20"/>
            </w:pPr>
            <w:r/>
            <w:r>
              <w:rPr>
                <w:rFonts w:ascii="Arial" w:hAnsi="Arial"/>
                <w:b w:val="0"/>
                <w:sz w:val="16"/>
              </w:rPr>
              <w:t>Ponctuel, aux moments décisifs</w:t>
            </w:r>
          </w:p>
        </w:tc>
      </w:tr>
      <w:tr>
        <w:tc>
          <w:tcPr>
            <w:tcW w:type="dxa" w:w="2041"/>
          </w:tcPr>
          <w:p>
            <w:pPr>
              <w:spacing w:after="20" w:before="20"/>
            </w:pPr>
            <w:r/>
            <w:r>
              <w:rPr>
                <w:rFonts w:ascii="Arial" w:hAnsi="Arial"/>
                <w:b w:val="0"/>
                <w:sz w:val="16"/>
              </w:rPr>
              <w:t>Acteurs passifs</w:t>
            </w:r>
          </w:p>
          <w:p>
            <w:pPr>
              <w:spacing w:after="20"/>
            </w:pPr>
            <w:r>
              <w:rPr>
                <w:rFonts w:ascii="Arial" w:hAnsi="Arial"/>
                <w:b w:val="0"/>
                <w:sz w:val="16"/>
              </w:rPr>
              <w:t>Commerciaux, sourcing, relations entreprises</w:t>
            </w:r>
          </w:p>
        </w:tc>
        <w:tc>
          <w:tcPr>
            <w:tcW w:type="dxa" w:w="2041"/>
          </w:tcPr>
          <w:p>
            <w:pPr>
              <w:spacing w:after="20" w:before="20"/>
            </w:pPr>
            <w:r/>
            <w:r>
              <w:rPr>
                <w:rFonts w:ascii="Arial" w:hAnsi="Arial"/>
                <w:b w:val="0"/>
                <w:sz w:val="16"/>
              </w:rPr>
              <w:t>Éviter l'écart entre ce qui est vendu et ce qui est conçu</w:t>
            </w:r>
          </w:p>
        </w:tc>
        <w:tc>
          <w:tcPr>
            <w:tcW w:type="dxa" w:w="2494"/>
          </w:tcPr>
          <w:p>
            <w:pPr>
              <w:spacing w:after="20" w:before="20"/>
            </w:pPr>
            <w:r/>
            <w:r>
              <w:rPr>
                <w:rFonts w:ascii="Arial" w:hAnsi="Arial"/>
                <w:b w:val="0"/>
                <w:sz w:val="16"/>
              </w:rPr>
              <w:t>Voici le programme réel et son calendrier de disponibilité</w:t>
            </w:r>
          </w:p>
        </w:tc>
        <w:tc>
          <w:tcPr>
            <w:tcW w:type="dxa" w:w="1928"/>
          </w:tcPr>
          <w:p>
            <w:pPr>
              <w:spacing w:after="20" w:before="20"/>
            </w:pPr>
            <w:r/>
            <w:r>
              <w:rPr>
                <w:rFonts w:ascii="Arial" w:hAnsi="Arial"/>
                <w:b w:val="0"/>
                <w:sz w:val="16"/>
              </w:rPr>
              <w:t>Synthèses écrites, réunions ponctuelles</w:t>
            </w:r>
          </w:p>
        </w:tc>
        <w:tc>
          <w:tcPr>
            <w:tcW w:type="dxa" w:w="1247"/>
          </w:tcPr>
          <w:p>
            <w:pPr>
              <w:spacing w:after="20" w:before="20"/>
            </w:pPr>
            <w:r/>
            <w:r>
              <w:rPr>
                <w:rFonts w:ascii="Arial" w:hAnsi="Arial"/>
                <w:b w:val="0"/>
                <w:sz w:val="16"/>
              </w:rPr>
              <w:t>Aux jalons</w:t>
            </w:r>
          </w:p>
        </w:tc>
      </w:tr>
      <w:tr>
        <w:tc>
          <w:tcPr>
            <w:tcW w:type="dxa" w:w="2041"/>
          </w:tcPr>
          <w:p>
            <w:pPr>
              <w:spacing w:after="20" w:before="20"/>
            </w:pPr>
            <w:r/>
            <w:r>
              <w:rPr>
                <w:rFonts w:ascii="Arial" w:hAnsi="Arial"/>
                <w:b w:val="0"/>
                <w:sz w:val="16"/>
              </w:rPr>
              <w:t>Bénéficiaires</w:t>
            </w:r>
          </w:p>
          <w:p>
            <w:pPr>
              <w:spacing w:after="20"/>
            </w:pPr>
            <w:r>
              <w:rPr>
                <w:rFonts w:ascii="Arial" w:hAnsi="Arial"/>
                <w:b w:val="0"/>
                <w:sz w:val="16"/>
              </w:rPr>
              <w:t>Étudiants et délégués</w:t>
            </w:r>
          </w:p>
        </w:tc>
        <w:tc>
          <w:tcPr>
            <w:tcW w:type="dxa" w:w="2041"/>
          </w:tcPr>
          <w:p>
            <w:pPr>
              <w:spacing w:after="20" w:before="20"/>
            </w:pPr>
            <w:r/>
            <w:r>
              <w:rPr>
                <w:rFonts w:ascii="Arial" w:hAnsi="Arial"/>
                <w:b w:val="0"/>
                <w:sz w:val="16"/>
              </w:rPr>
              <w:t>Recueillir leurs besoins et rendre le parcours lisible</w:t>
            </w:r>
          </w:p>
        </w:tc>
        <w:tc>
          <w:tcPr>
            <w:tcW w:type="dxa" w:w="2494"/>
          </w:tcPr>
          <w:p>
            <w:pPr>
              <w:spacing w:after="20" w:before="20"/>
            </w:pPr>
            <w:r/>
            <w:r>
              <w:rPr>
                <w:rFonts w:ascii="Arial" w:hAnsi="Arial"/>
                <w:b w:val="0"/>
                <w:sz w:val="16"/>
              </w:rPr>
              <w:t>Voici ce que votre parcours prépare et comment il progresse</w:t>
            </w:r>
          </w:p>
        </w:tc>
        <w:tc>
          <w:tcPr>
            <w:tcW w:type="dxa" w:w="1928"/>
          </w:tcPr>
          <w:p>
            <w:pPr>
              <w:spacing w:after="20" w:before="20"/>
            </w:pPr>
            <w:r/>
            <w:r>
              <w:rPr>
                <w:rFonts w:ascii="Arial" w:hAnsi="Arial"/>
                <w:b w:val="0"/>
                <w:sz w:val="16"/>
              </w:rPr>
              <w:t>Enquête de besoins, rubans pédagogiques</w:t>
            </w:r>
          </w:p>
        </w:tc>
        <w:tc>
          <w:tcPr>
            <w:tcW w:type="dxa" w:w="1247"/>
          </w:tcPr>
          <w:p>
            <w:pPr>
              <w:spacing w:after="20" w:before="20"/>
            </w:pPr>
            <w:r/>
            <w:r>
              <w:rPr>
                <w:rFonts w:ascii="Arial" w:hAnsi="Arial"/>
                <w:b w:val="0"/>
                <w:sz w:val="16"/>
              </w:rPr>
              <w:t>Une fois, puis à la rentrée</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Ce que la communication a dû corriger en cours de route</w:t>
            </w:r>
          </w:p>
        </w:tc>
      </w:tr>
      <w:tr>
        <w:tc>
          <w:tcPr>
            <w:tcW w:type="dxa" w:w="9752"/>
          </w:tcPr>
          <w:p>
            <w:pPr>
              <w:spacing w:after="60" w:before="20"/>
            </w:pPr>
            <w:r/>
            <w:r>
              <w:rPr>
                <w:rFonts w:ascii="Arial" w:hAnsi="Arial"/>
                <w:b w:val="0"/>
                <w:sz w:val="19"/>
              </w:rPr>
              <w:t>Le premier dispositif reposait sur un fichier commun adressé à tous. Il a produit des réponses partielles et lentes : un message identique adressé à un groupe ne mobilise pas ceux qui n'ont pas demandé le projet. La correction a porté sur deux points. D'abord des relances individuelles, formateur par formateur, qui transforment une sollicitation collective en conversation. Ensuite un changement de nature du message : plutôt que de demander une contribution au projet, montrer que la déclaration décide du planning de celui qui la fait. C'est ce déplacement, davantage que la relance, qui explique le taux de réponse obtenu.</w:t>
            </w:r>
          </w:p>
        </w:tc>
      </w:tr>
    </w:tbl>
    <w:p>
      <w:pPr>
        <w:spacing w:before="0" w:after="120"/>
      </w:pPr>
    </w:p>
    <w:p>
      <w:pPr>
        <w:spacing w:before="40" w:after="60"/>
      </w:pPr>
      <w:r>
        <w:rPr>
          <w:rFonts w:ascii="Arial" w:hAnsi="Arial"/>
          <w:b/>
          <w:i w:val="0"/>
          <w:color w:val="1F3864"/>
          <w:sz w:val="20"/>
        </w:rPr>
        <w:t>Instances et productions</w:t>
      </w: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2438"/>
        <w:gridCol w:w="2438"/>
        <w:gridCol w:w="2438"/>
        <w:gridCol w:w="2438"/>
      </w:tblGrid>
      <w:tr>
        <w:trPr>
          <w:tblHeader w:val="true"/>
        </w:trPr>
        <w:tc>
          <w:tcPr>
            <w:tcW w:type="dxa" w:w="1928"/>
            <w:shd w:val="clear" w:fill="1F3864"/>
          </w:tcPr>
          <w:p>
            <w:pPr>
              <w:spacing w:after="20" w:before="20"/>
            </w:pPr>
            <w:r/>
            <w:r>
              <w:rPr>
                <w:rFonts w:ascii="Arial" w:hAnsi="Arial"/>
                <w:b/>
                <w:color w:val="FFFFFF"/>
                <w:sz w:val="16"/>
              </w:rPr>
              <w:t>Instance</w:t>
            </w:r>
          </w:p>
        </w:tc>
        <w:tc>
          <w:tcPr>
            <w:tcW w:type="dxa" w:w="2721"/>
            <w:shd w:val="clear" w:fill="1F3864"/>
          </w:tcPr>
          <w:p>
            <w:pPr>
              <w:spacing w:after="20" w:before="20"/>
            </w:pPr>
            <w:r/>
            <w:r>
              <w:rPr>
                <w:rFonts w:ascii="Arial" w:hAnsi="Arial"/>
                <w:b/>
                <w:color w:val="FFFFFF"/>
                <w:sz w:val="16"/>
              </w:rPr>
              <w:t>Participants</w:t>
            </w:r>
          </w:p>
        </w:tc>
        <w:tc>
          <w:tcPr>
            <w:tcW w:type="dxa" w:w="3175"/>
            <w:shd w:val="clear" w:fill="1F3864"/>
          </w:tcPr>
          <w:p>
            <w:pPr>
              <w:spacing w:after="20" w:before="20"/>
            </w:pPr>
            <w:r/>
            <w:r>
              <w:rPr>
                <w:rFonts w:ascii="Arial" w:hAnsi="Arial"/>
                <w:b/>
                <w:color w:val="FFFFFF"/>
                <w:sz w:val="16"/>
              </w:rPr>
              <w:t>Objet</w:t>
            </w:r>
          </w:p>
        </w:tc>
        <w:tc>
          <w:tcPr>
            <w:tcW w:type="dxa" w:w="1928"/>
            <w:shd w:val="clear" w:fill="1F3864"/>
          </w:tcPr>
          <w:p>
            <w:pPr>
              <w:spacing w:after="20" w:before="20"/>
            </w:pPr>
            <w:r/>
            <w:r>
              <w:rPr>
                <w:rFonts w:ascii="Arial" w:hAnsi="Arial"/>
                <w:b/>
                <w:color w:val="FFFFFF"/>
                <w:sz w:val="16"/>
              </w:rPr>
              <w:t>Trace produite</w:t>
            </w:r>
          </w:p>
        </w:tc>
      </w:tr>
      <w:tr>
        <w:tc>
          <w:tcPr>
            <w:tcW w:type="dxa" w:w="1928"/>
          </w:tcPr>
          <w:p>
            <w:pPr>
              <w:spacing w:after="20" w:before="20"/>
            </w:pPr>
            <w:r/>
            <w:r>
              <w:rPr>
                <w:rFonts w:ascii="Arial" w:hAnsi="Arial"/>
                <w:b w:val="0"/>
                <w:sz w:val="16"/>
              </w:rPr>
              <w:t>Point hebdomadaire</w:t>
            </w:r>
          </w:p>
        </w:tc>
        <w:tc>
          <w:tcPr>
            <w:tcW w:type="dxa" w:w="2721"/>
          </w:tcPr>
          <w:p>
            <w:pPr>
              <w:spacing w:after="20" w:before="20"/>
            </w:pPr>
            <w:r/>
            <w:r>
              <w:rPr>
                <w:rFonts w:ascii="Arial" w:hAnsi="Arial"/>
                <w:b w:val="0"/>
                <w:sz w:val="16"/>
              </w:rPr>
              <w:t>Chef de projet, responsable pédagogique</w:t>
            </w:r>
          </w:p>
        </w:tc>
        <w:tc>
          <w:tcPr>
            <w:tcW w:type="dxa" w:w="3175"/>
          </w:tcPr>
          <w:p>
            <w:pPr>
              <w:spacing w:after="20" w:before="20"/>
            </w:pPr>
            <w:r/>
            <w:r>
              <w:rPr>
                <w:rFonts w:ascii="Arial" w:hAnsi="Arial"/>
                <w:b w:val="0"/>
                <w:sz w:val="16"/>
              </w:rPr>
              <w:t>Avancement, décisions courantes, arbitrages du quotidien</w:t>
            </w:r>
          </w:p>
        </w:tc>
        <w:tc>
          <w:tcPr>
            <w:tcW w:type="dxa" w:w="1928"/>
          </w:tcPr>
          <w:p>
            <w:pPr>
              <w:spacing w:after="20" w:before="20"/>
            </w:pPr>
            <w:r/>
            <w:r>
              <w:rPr>
                <w:rFonts w:ascii="Arial" w:hAnsi="Arial"/>
                <w:b w:val="0"/>
                <w:sz w:val="16"/>
              </w:rPr>
              <w:t>Notes de décision</w:t>
            </w:r>
          </w:p>
        </w:tc>
      </w:tr>
      <w:tr>
        <w:tc>
          <w:tcPr>
            <w:tcW w:type="dxa" w:w="1928"/>
          </w:tcPr>
          <w:p>
            <w:pPr>
              <w:spacing w:after="20" w:before="20"/>
            </w:pPr>
            <w:r/>
            <w:r>
              <w:rPr>
                <w:rFonts w:ascii="Arial" w:hAnsi="Arial"/>
                <w:b w:val="0"/>
                <w:sz w:val="16"/>
              </w:rPr>
              <w:t>Comité pédagogique mensuel</w:t>
            </w:r>
          </w:p>
        </w:tc>
        <w:tc>
          <w:tcPr>
            <w:tcW w:type="dxa" w:w="2721"/>
          </w:tcPr>
          <w:p>
            <w:pPr>
              <w:spacing w:after="20" w:before="20"/>
            </w:pPr>
            <w:r/>
            <w:r>
              <w:rPr>
                <w:rFonts w:ascii="Arial" w:hAnsi="Arial"/>
                <w:b w:val="0"/>
                <w:sz w:val="16"/>
              </w:rPr>
              <w:t>Responsable pédagogique, chef de projet, formateurs selon le sujet</w:t>
            </w:r>
          </w:p>
        </w:tc>
        <w:tc>
          <w:tcPr>
            <w:tcW w:type="dxa" w:w="3175"/>
          </w:tcPr>
          <w:p>
            <w:pPr>
              <w:spacing w:after="20" w:before="20"/>
            </w:pPr>
            <w:r/>
            <w:r>
              <w:rPr>
                <w:rFonts w:ascii="Arial" w:hAnsi="Arial"/>
                <w:b w:val="0"/>
                <w:sz w:val="16"/>
              </w:rPr>
              <w:t>Avancement des livrables, retours de terrain, risques pédagogiques</w:t>
            </w:r>
          </w:p>
        </w:tc>
        <w:tc>
          <w:tcPr>
            <w:tcW w:type="dxa" w:w="1928"/>
          </w:tcPr>
          <w:p>
            <w:pPr>
              <w:spacing w:after="20" w:before="20"/>
            </w:pPr>
            <w:r/>
            <w:r>
              <w:rPr>
                <w:rFonts w:ascii="Arial" w:hAnsi="Arial"/>
                <w:b w:val="0"/>
                <w:sz w:val="16"/>
              </w:rPr>
              <w:t>Compte rendu et tableau de suivi</w:t>
            </w:r>
          </w:p>
        </w:tc>
      </w:tr>
      <w:tr>
        <w:tc>
          <w:tcPr>
            <w:tcW w:type="dxa" w:w="1928"/>
          </w:tcPr>
          <w:p>
            <w:pPr>
              <w:spacing w:after="20" w:before="20"/>
            </w:pPr>
            <w:r/>
            <w:r>
              <w:rPr>
                <w:rFonts w:ascii="Arial" w:hAnsi="Arial"/>
                <w:b w:val="0"/>
                <w:sz w:val="16"/>
              </w:rPr>
              <w:t>Comité de pilotage</w:t>
            </w:r>
          </w:p>
        </w:tc>
        <w:tc>
          <w:tcPr>
            <w:tcW w:type="dxa" w:w="2721"/>
          </w:tcPr>
          <w:p>
            <w:pPr>
              <w:spacing w:after="20" w:before="20"/>
            </w:pPr>
            <w:r/>
            <w:r>
              <w:rPr>
                <w:rFonts w:ascii="Arial" w:hAnsi="Arial"/>
                <w:b w:val="0"/>
                <w:sz w:val="16"/>
              </w:rPr>
              <w:t>Direction, responsable pédagogique, chef de projet</w:t>
            </w:r>
          </w:p>
        </w:tc>
        <w:tc>
          <w:tcPr>
            <w:tcW w:type="dxa" w:w="3175"/>
          </w:tcPr>
          <w:p>
            <w:pPr>
              <w:spacing w:after="20" w:before="20"/>
            </w:pPr>
            <w:r/>
            <w:r>
              <w:rPr>
                <w:rFonts w:ascii="Arial" w:hAnsi="Arial"/>
                <w:b w:val="0"/>
                <w:sz w:val="16"/>
              </w:rPr>
              <w:t>Franchissement de jalon, arbitrages économiques, engagement des moyens</w:t>
            </w:r>
          </w:p>
        </w:tc>
        <w:tc>
          <w:tcPr>
            <w:tcW w:type="dxa" w:w="1928"/>
          </w:tcPr>
          <w:p>
            <w:pPr>
              <w:spacing w:after="20" w:before="20"/>
            </w:pPr>
            <w:r/>
            <w:r>
              <w:rPr>
                <w:rFonts w:ascii="Arial" w:hAnsi="Arial"/>
                <w:b w:val="0"/>
                <w:sz w:val="16"/>
              </w:rPr>
              <w:t>Relevé de décisions</w:t>
            </w:r>
          </w:p>
        </w:tc>
      </w:tr>
      <w:tr>
        <w:tc>
          <w:tcPr>
            <w:tcW w:type="dxa" w:w="1928"/>
          </w:tcPr>
          <w:p>
            <w:pPr>
              <w:spacing w:after="20" w:before="20"/>
            </w:pPr>
            <w:r/>
            <w:r>
              <w:rPr>
                <w:rFonts w:ascii="Arial" w:hAnsi="Arial"/>
                <w:b w:val="0"/>
                <w:sz w:val="16"/>
              </w:rPr>
              <w:t>Revue d'expert</w:t>
            </w:r>
          </w:p>
        </w:tc>
        <w:tc>
          <w:tcPr>
            <w:tcW w:type="dxa" w:w="2721"/>
          </w:tcPr>
          <w:p>
            <w:pPr>
              <w:spacing w:after="20" w:before="20"/>
            </w:pPr>
            <w:r/>
            <w:r>
              <w:rPr>
                <w:rFonts w:ascii="Arial" w:hAnsi="Arial"/>
                <w:b w:val="0"/>
                <w:sz w:val="16"/>
              </w:rPr>
              <w:t>Chef de projet, responsable pédagogique, certificateur</w:t>
            </w:r>
          </w:p>
        </w:tc>
        <w:tc>
          <w:tcPr>
            <w:tcW w:type="dxa" w:w="3175"/>
          </w:tcPr>
          <w:p>
            <w:pPr>
              <w:spacing w:after="20" w:before="20"/>
            </w:pPr>
            <w:r/>
            <w:r>
              <w:rPr>
                <w:rFonts w:ascii="Arial" w:hAnsi="Arial"/>
                <w:b w:val="0"/>
                <w:sz w:val="16"/>
              </w:rPr>
              <w:t>Cohérence du programme avec les titres visés</w:t>
            </w:r>
          </w:p>
        </w:tc>
        <w:tc>
          <w:tcPr>
            <w:tcW w:type="dxa" w:w="1928"/>
          </w:tcPr>
          <w:p>
            <w:pPr>
              <w:spacing w:after="20" w:before="20"/>
            </w:pPr>
            <w:r/>
            <w:r>
              <w:rPr>
                <w:rFonts w:ascii="Arial" w:hAnsi="Arial"/>
                <w:b w:val="0"/>
                <w:sz w:val="16"/>
              </w:rPr>
              <w:t>Retours intégrés au référentiel</w:t>
            </w:r>
          </w:p>
        </w:tc>
      </w:tr>
    </w:tbl>
    <w:p>
      <w:pPr>
        <w:spacing w:before="0" w:after="120"/>
      </w:pPr>
    </w:p>
    <w:tbl>
      <w:tblPr>
        <w:tblW w:type="auto" w:w="0"/>
        <w:tblLook w:firstColumn="1" w:firstRow="1" w:lastColumn="0" w:lastRow="0" w:noHBand="0" w:noVBand="1" w:val="04A0"/>
        <w:tblBorders>
          <w:top w:val="single" w:sz="4" w:color="9AA7BD"/>
          <w:left w:val="single" w:sz="4" w:color="9AA7BD"/>
          <w:bottom w:val="single" w:sz="4" w:color="9AA7BD"/>
          <w:right w:val="single" w:sz="4" w:color="9AA7BD"/>
          <w:insideH w:val="single" w:sz="4" w:color="9AA7BD"/>
          <w:insideV w:val="single" w:sz="4" w:color="9AA7BD"/>
        </w:tblBorders>
      </w:tblPr>
      <w:tblGrid>
        <w:gridCol w:w="9752"/>
      </w:tblGrid>
      <w:tr>
        <w:tc>
          <w:tcPr>
            <w:tcW w:type="dxa" w:w="9752"/>
            <w:shd w:val="clear" w:fill="EAEFF7"/>
          </w:tcPr>
          <w:p>
            <w:pPr>
              <w:spacing w:after="20" w:before="20"/>
            </w:pPr>
            <w:r/>
            <w:r>
              <w:rPr>
                <w:rFonts w:ascii="Arial" w:hAnsi="Arial"/>
                <w:b/>
                <w:color w:val="1F3864"/>
                <w:sz w:val="20"/>
              </w:rPr>
              <w:t>Gouvernance de la communication</w:t>
            </w:r>
          </w:p>
        </w:tc>
      </w:tr>
      <w:tr>
        <w:tc>
          <w:tcPr>
            <w:tcW w:type="dxa" w:w="9752"/>
          </w:tcPr>
          <w:p>
            <w:pPr>
              <w:spacing w:after="60" w:before="20"/>
            </w:pPr>
            <w:r/>
            <w:r>
              <w:rPr>
                <w:rFonts w:ascii="Arial" w:hAnsi="Arial"/>
                <w:b w:val="0"/>
                <w:sz w:val="19"/>
              </w:rPr>
              <w:t>La communication interne relève de la responsable pédagogique : elle connaît l'équipe, elle en a la légitimité, et un message venant d'elle n'a pas le même poids que le même message venant d'un intervenant à un jour par semaine. Le chef de projet produit les contenus et prépare les supports ; elle les porte. Cette répartition, tardive dans le projet, aurait gagné à être posée au cadrage.</w:t>
            </w:r>
          </w:p>
        </w:tc>
      </w:tr>
    </w:tbl>
    <w:p>
      <w:pPr>
        <w:spacing w:before="0" w:after="120"/>
      </w:pPr>
    </w:p>
    <w:sectPr w:rsidR="00FC693F" w:rsidRPr="0006063C" w:rsidSect="00034616">
      <w:headerReference w:type="default" r:id="rId9"/>
      <w:footerReference w:type="default" r:id="rId10"/>
      <w:pgSz w:w="11906" w:h="16838"/>
      <w:pgMar w:top="1361" w:right="1077" w:bottom="964" w:left="107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06060"/>
        <w:sz w:val="16"/>
      </w:rPr>
      <w:t xml:space="preserve">IMIE Paris   ·   </w:t>
    </w:r>
    <w:fldSimple w:instr="PAGE">
      <w:r>
        <w:rPr>
          <w:sz w:val="16"/>
        </w:rPr>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tblLook w:firstColumn="1" w:firstRow="1" w:lastColumn="0" w:lastRow="0" w:noHBand="0" w:noVBand="1" w:val="04A0"/>
      <w:tblBorders>
        <w:top w:val="none"/>
        <w:left w:val="none"/>
        <w:bottom w:val="none"/>
        <w:right w:val="none"/>
        <w:insideH w:val="none"/>
        <w:insideV w:val="none"/>
      </w:tblBorders>
    </w:tblPr>
    <w:tblGrid>
      <w:gridCol w:w="3402"/>
      <w:gridCol w:w="6350"/>
    </w:tblGrid>
    <w:tr>
      <w:tc>
        <w:tcPr>
          <w:tcW w:type="dxa" w:w="4876"/>
        </w:tcPr>
        <w:p>
          <w:pPr>
            <w:spacing w:after="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logo_imie_entete.png"/>
                        <pic:cNvPicPr/>
                      </pic:nvPicPr>
                      <pic:blipFill>
                        <a:blip r:embed="rId1"/>
                        <a:stretch>
                          <a:fillRect/>
                        </a:stretch>
                      </pic:blipFill>
                      <pic:spPr>
                        <a:xfrm>
                          <a:off x="0" y="0"/>
                          <a:ext cx="342000" cy="342000"/>
                        </a:xfrm>
                        <a:prstGeom prst="rect"/>
                      </pic:spPr>
                    </pic:pic>
                  </a:graphicData>
                </a:graphic>
              </wp:inline>
            </w:drawing>
          </w:r>
        </w:p>
      </w:tc>
      <w:tc>
        <w:tcPr>
          <w:tcW w:type="dxa" w:w="4876"/>
        </w:tcPr>
        <w:p>
          <w:pPr>
            <w:spacing w:after="0" w:before="20"/>
            <w:jc w:val="right"/>
          </w:pPr>
          <w:r/>
          <w:r>
            <w:rPr>
              <w:rFonts w:ascii="Arial" w:hAnsi="Arial"/>
              <w:b/>
              <w:color w:val="1F3864"/>
              <w:sz w:val="18"/>
            </w:rPr>
            <w:t>Plan de communication · Structuration des parcours B1/B2 · B1B2-2026</w:t>
          </w:r>
        </w:p>
      </w:tc>
    </w:tr>
  </w:tbl>
  <w:p>
    <w:pPr>
      <w:spacing w:before="40" w:after="0"/>
      <w:pBdr>
        <w:bottom w:val="single" w:sz="6" w:color="1F3864"/>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