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Borders>
          <w:top w:val="none"/>
          <w:left w:val="none"/>
          <w:bottom w:val="none"/>
          <w:right w:val="none"/>
          <w:insideH w:val="none"/>
          <w:insideV w:val="none"/>
        </w:tblBorders>
      </w:tblPr>
      <w:tblGrid>
        <w:gridCol w:w="9752"/>
      </w:tblGrid>
      <w:tr>
        <w:tc>
          <w:tcPr>
            <w:tcW w:type="dxa" w:w="9752"/>
            <w:shd w:val="clear" w:fill="1F3864"/>
          </w:tcPr>
          <w:p>
            <w:pPr>
              <w:spacing w:after="0" w:before="20"/>
              <w:jc w:val="center"/>
            </w:pPr>
            <w:r/>
            <w:r>
              <w:rPr>
                <w:rFonts w:ascii="Arial" w:hAnsi="Arial"/>
                <w:b/>
                <w:color w:val="FFFFFF"/>
                <w:sz w:val="32"/>
              </w:rPr>
              <w:t>Budget prévisionnel et suivi des coûts</w:t>
            </w:r>
          </w:p>
          <w:p>
            <w:pPr>
              <w:spacing w:after="40"/>
              <w:jc w:val="center"/>
            </w:pPr>
            <w:r>
              <w:rPr>
                <w:rFonts w:ascii="Arial" w:hAnsi="Arial"/>
                <w:color w:val="D5DDEC"/>
                <w:sz w:val="20"/>
              </w:rPr>
              <w:t>Estimation, consommé et analyse des écarts · Structuration des parcours B1/B2</w:t>
            </w:r>
          </w:p>
        </w:tc>
      </w:tr>
    </w:tbl>
    <w:p>
      <w:pPr>
        <w:spacing w:before="0" w:after="120"/>
      </w:pP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2608"/>
        <w:gridCol w:w="7143"/>
      </w:tblGrid>
      <w:tr>
        <w:tc>
          <w:tcPr>
            <w:tcW w:type="dxa" w:w="2608"/>
            <w:shd w:val="clear" w:fill="EAEFF7"/>
          </w:tcPr>
          <w:p>
            <w:pPr>
              <w:spacing w:after="40" w:before="20"/>
            </w:pPr>
            <w:r/>
            <w:r>
              <w:rPr>
                <w:rFonts w:ascii="Arial" w:hAnsi="Arial"/>
                <w:b/>
                <w:color w:val="1F3864"/>
                <w:sz w:val="18"/>
              </w:rPr>
              <w:t>Nom / Code projet</w:t>
            </w:r>
          </w:p>
        </w:tc>
        <w:tc>
          <w:tcPr>
            <w:tcW w:type="dxa" w:w="7143"/>
          </w:tcPr>
          <w:p>
            <w:pPr>
              <w:spacing w:after="40" w:before="20"/>
            </w:pPr>
            <w:r/>
            <w:r>
              <w:rPr>
                <w:rFonts w:ascii="Arial" w:hAnsi="Arial"/>
                <w:b w:val="0"/>
                <w:sz w:val="18"/>
              </w:rPr>
              <w:t>Structuration des parcours B1/B2  ·  B1B2-2026</w:t>
            </w:r>
          </w:p>
        </w:tc>
      </w:tr>
      <w:tr>
        <w:tc>
          <w:tcPr>
            <w:tcW w:type="dxa" w:w="2608"/>
            <w:shd w:val="clear" w:fill="EAEFF7"/>
          </w:tcPr>
          <w:p>
            <w:pPr>
              <w:spacing w:after="40" w:before="20"/>
            </w:pPr>
            <w:r/>
            <w:r>
              <w:rPr>
                <w:rFonts w:ascii="Arial" w:hAnsi="Arial"/>
                <w:b/>
                <w:color w:val="1F3864"/>
                <w:sz w:val="18"/>
              </w:rPr>
              <w:t>Référence</w:t>
            </w:r>
          </w:p>
        </w:tc>
        <w:tc>
          <w:tcPr>
            <w:tcW w:type="dxa" w:w="7143"/>
          </w:tcPr>
          <w:p>
            <w:pPr>
              <w:spacing w:after="40" w:before="20"/>
            </w:pPr>
            <w:r/>
            <w:r>
              <w:rPr>
                <w:rFonts w:ascii="Arial" w:hAnsi="Arial"/>
                <w:b w:val="0"/>
                <w:sz w:val="18"/>
              </w:rPr>
              <w:t>WBS du projet · étude d'opportunité</w:t>
            </w:r>
          </w:p>
        </w:tc>
      </w:tr>
      <w:tr>
        <w:tc>
          <w:tcPr>
            <w:tcW w:type="dxa" w:w="2608"/>
            <w:shd w:val="clear" w:fill="EAEFF7"/>
          </w:tcPr>
          <w:p>
            <w:pPr>
              <w:spacing w:after="40" w:before="20"/>
            </w:pPr>
            <w:r/>
            <w:r>
              <w:rPr>
                <w:rFonts w:ascii="Arial" w:hAnsi="Arial"/>
                <w:b/>
                <w:color w:val="1F3864"/>
                <w:sz w:val="18"/>
              </w:rPr>
              <w:t>Rédacteur</w:t>
            </w:r>
          </w:p>
        </w:tc>
        <w:tc>
          <w:tcPr>
            <w:tcW w:type="dxa" w:w="7143"/>
          </w:tcPr>
          <w:p>
            <w:pPr>
              <w:spacing w:after="40" w:before="20"/>
            </w:pPr>
            <w:r/>
            <w:r>
              <w:rPr>
                <w:rFonts w:ascii="Arial" w:hAnsi="Arial"/>
                <w:b w:val="0"/>
                <w:sz w:val="18"/>
              </w:rPr>
              <w:t>Mohamed EL AFRIT, chargé de missions pédagogiques</w:t>
            </w:r>
          </w:p>
        </w:tc>
      </w:tr>
      <w:tr>
        <w:tc>
          <w:tcPr>
            <w:tcW w:type="dxa" w:w="2608"/>
            <w:shd w:val="clear" w:fill="EAEFF7"/>
          </w:tcPr>
          <w:p>
            <w:pPr>
              <w:spacing w:after="40" w:before="20"/>
            </w:pPr>
            <w:r/>
            <w:r>
              <w:rPr>
                <w:rFonts w:ascii="Arial" w:hAnsi="Arial"/>
                <w:b/>
                <w:color w:val="1F3864"/>
                <w:sz w:val="18"/>
              </w:rPr>
              <w:t>Convention de valorisation</w:t>
            </w:r>
          </w:p>
        </w:tc>
        <w:tc>
          <w:tcPr>
            <w:tcW w:type="dxa" w:w="7143"/>
          </w:tcPr>
          <w:p>
            <w:pPr>
              <w:spacing w:after="40" w:before="20"/>
            </w:pPr>
            <w:r/>
            <w:r>
              <w:rPr>
                <w:rFonts w:ascii="Arial" w:hAnsi="Arial"/>
                <w:b w:val="0"/>
                <w:sz w:val="18"/>
              </w:rPr>
              <w:t>350 € par jour de sept heures, taux de marché d'un consultant en gestion de projet. Aucune donnée salariale réelle n'est utilisée.</w:t>
            </w:r>
          </w:p>
        </w:tc>
      </w:tr>
    </w:tbl>
    <w:p>
      <w:pPr>
        <w:spacing w:before="0" w:after="80"/>
      </w:pPr>
    </w:p>
    <w:p>
      <w:pPr>
        <w:spacing w:before="40" w:after="60"/>
      </w:pPr>
      <w:r>
        <w:rPr>
          <w:rFonts w:ascii="Arial" w:hAnsi="Arial"/>
          <w:b/>
          <w:i w:val="0"/>
          <w:color w:val="1F3864"/>
          <w:sz w:val="20"/>
        </w:rPr>
        <w:t>Historique du document</w:t>
      </w: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2438"/>
        <w:gridCol w:w="2438"/>
        <w:gridCol w:w="2438"/>
        <w:gridCol w:w="2438"/>
      </w:tblGrid>
      <w:tr>
        <w:tc>
          <w:tcPr>
            <w:tcW w:type="dxa" w:w="907"/>
            <w:shd w:val="clear" w:fill="1F3864"/>
          </w:tcPr>
          <w:p>
            <w:pPr>
              <w:spacing w:after="40" w:before="20"/>
            </w:pPr>
            <w:r/>
            <w:r>
              <w:rPr>
                <w:rFonts w:ascii="Arial" w:hAnsi="Arial"/>
                <w:b/>
                <w:color w:val="FFFFFF"/>
                <w:sz w:val="18"/>
              </w:rPr>
              <w:t>Version</w:t>
            </w:r>
          </w:p>
        </w:tc>
        <w:tc>
          <w:tcPr>
            <w:tcW w:type="dxa" w:w="2494"/>
            <w:shd w:val="clear" w:fill="1F3864"/>
          </w:tcPr>
          <w:p>
            <w:pPr>
              <w:spacing w:after="40" w:before="20"/>
            </w:pPr>
            <w:r/>
            <w:r>
              <w:rPr>
                <w:rFonts w:ascii="Arial" w:hAnsi="Arial"/>
                <w:b/>
                <w:color w:val="FFFFFF"/>
                <w:sz w:val="18"/>
              </w:rPr>
              <w:t>Auteur</w:t>
            </w:r>
          </w:p>
        </w:tc>
        <w:tc>
          <w:tcPr>
            <w:tcW w:type="dxa" w:w="4649"/>
            <w:shd w:val="clear" w:fill="1F3864"/>
          </w:tcPr>
          <w:p>
            <w:pPr>
              <w:spacing w:after="40" w:before="20"/>
            </w:pPr>
            <w:r/>
            <w:r>
              <w:rPr>
                <w:rFonts w:ascii="Arial" w:hAnsi="Arial"/>
                <w:b/>
                <w:color w:val="FFFFFF"/>
                <w:sz w:val="18"/>
              </w:rPr>
              <w:t>Description</w:t>
            </w:r>
          </w:p>
        </w:tc>
        <w:tc>
          <w:tcPr>
            <w:tcW w:type="dxa" w:w="1701"/>
            <w:shd w:val="clear" w:fill="1F3864"/>
          </w:tcPr>
          <w:p>
            <w:pPr>
              <w:spacing w:after="40" w:before="20"/>
            </w:pPr>
            <w:r/>
            <w:r>
              <w:rPr>
                <w:rFonts w:ascii="Arial" w:hAnsi="Arial"/>
                <w:b/>
                <w:color w:val="FFFFFF"/>
                <w:sz w:val="18"/>
              </w:rPr>
              <w:t>Date</w:t>
            </w:r>
          </w:p>
        </w:tc>
      </w:tr>
      <w:tr>
        <w:tc>
          <w:tcPr>
            <w:tcW w:type="dxa" w:w="907"/>
          </w:tcPr>
          <w:p>
            <w:pPr>
              <w:spacing w:after="40" w:before="20"/>
            </w:pPr>
            <w:r/>
            <w:r>
              <w:rPr>
                <w:rFonts w:ascii="Arial" w:hAnsi="Arial"/>
                <w:b w:val="0"/>
                <w:sz w:val="18"/>
              </w:rPr>
              <w:t>V1.0</w:t>
            </w:r>
          </w:p>
        </w:tc>
        <w:tc>
          <w:tcPr>
            <w:tcW w:type="dxa" w:w="2494"/>
          </w:tcPr>
          <w:p>
            <w:pPr>
              <w:spacing w:after="40" w:before="20"/>
            </w:pPr>
            <w:r/>
            <w:r>
              <w:rPr>
                <w:rFonts w:ascii="Arial" w:hAnsi="Arial"/>
                <w:b w:val="0"/>
                <w:sz w:val="18"/>
              </w:rPr>
              <w:t>Mohamed EL AFRIT</w:t>
            </w:r>
          </w:p>
        </w:tc>
        <w:tc>
          <w:tcPr>
            <w:tcW w:type="dxa" w:w="4649"/>
          </w:tcPr>
          <w:p>
            <w:pPr>
              <w:spacing w:after="40" w:before="20"/>
            </w:pPr>
            <w:r/>
            <w:r>
              <w:rPr>
                <w:rFonts w:ascii="Arial" w:hAnsi="Arial"/>
                <w:b w:val="0"/>
                <w:sz w:val="18"/>
              </w:rPr>
              <w:t>Estimation initiale jointe à l'étude d'opportunité</w:t>
            </w:r>
          </w:p>
        </w:tc>
        <w:tc>
          <w:tcPr>
            <w:tcW w:type="dxa" w:w="1701"/>
          </w:tcPr>
          <w:p>
            <w:pPr>
              <w:spacing w:after="40" w:before="20"/>
            </w:pPr>
            <w:r/>
            <w:r>
              <w:rPr>
                <w:rFonts w:ascii="Arial" w:hAnsi="Arial"/>
                <w:b w:val="0"/>
                <w:sz w:val="18"/>
              </w:rPr>
              <w:t>14/11/2025</w:t>
            </w:r>
          </w:p>
        </w:tc>
      </w:tr>
      <w:tr>
        <w:tc>
          <w:tcPr>
            <w:tcW w:type="dxa" w:w="907"/>
          </w:tcPr>
          <w:p>
            <w:pPr>
              <w:spacing w:after="40" w:before="20"/>
            </w:pPr>
            <w:r/>
            <w:r>
              <w:rPr>
                <w:rFonts w:ascii="Arial" w:hAnsi="Arial"/>
                <w:b w:val="0"/>
                <w:sz w:val="18"/>
              </w:rPr>
              <w:t>V1.1</w:t>
            </w:r>
          </w:p>
        </w:tc>
        <w:tc>
          <w:tcPr>
            <w:tcW w:type="dxa" w:w="2494"/>
          </w:tcPr>
          <w:p>
            <w:pPr>
              <w:spacing w:after="40" w:before="20"/>
            </w:pPr>
            <w:r/>
            <w:r>
              <w:rPr>
                <w:rFonts w:ascii="Arial" w:hAnsi="Arial"/>
                <w:b w:val="0"/>
                <w:sz w:val="18"/>
              </w:rPr>
              <w:t>Mohamed EL AFRIT</w:t>
            </w:r>
          </w:p>
        </w:tc>
        <w:tc>
          <w:tcPr>
            <w:tcW w:type="dxa" w:w="4649"/>
          </w:tcPr>
          <w:p>
            <w:pPr>
              <w:spacing w:after="40" w:before="20"/>
            </w:pPr>
            <w:r/>
            <w:r>
              <w:rPr>
                <w:rFonts w:ascii="Arial" w:hAnsi="Arial"/>
                <w:b w:val="0"/>
                <w:sz w:val="18"/>
              </w:rPr>
              <w:t>Budget arrêté par la direction</w:t>
            </w:r>
          </w:p>
        </w:tc>
        <w:tc>
          <w:tcPr>
            <w:tcW w:type="dxa" w:w="1701"/>
          </w:tcPr>
          <w:p>
            <w:pPr>
              <w:spacing w:after="40" w:before="20"/>
            </w:pPr>
            <w:r/>
            <w:r>
              <w:rPr>
                <w:rFonts w:ascii="Arial" w:hAnsi="Arial"/>
                <w:b w:val="0"/>
                <w:sz w:val="18"/>
              </w:rPr>
              <w:t>08/12/2025</w:t>
            </w:r>
          </w:p>
        </w:tc>
      </w:tr>
      <w:tr>
        <w:tc>
          <w:tcPr>
            <w:tcW w:type="dxa" w:w="907"/>
          </w:tcPr>
          <w:p>
            <w:pPr>
              <w:spacing w:after="40" w:before="20"/>
            </w:pPr>
            <w:r/>
            <w:r>
              <w:rPr>
                <w:rFonts w:ascii="Arial" w:hAnsi="Arial"/>
                <w:b w:val="0"/>
                <w:sz w:val="18"/>
              </w:rPr>
              <w:t>V2.0</w:t>
            </w:r>
          </w:p>
        </w:tc>
        <w:tc>
          <w:tcPr>
            <w:tcW w:type="dxa" w:w="2494"/>
          </w:tcPr>
          <w:p>
            <w:pPr>
              <w:spacing w:after="40" w:before="20"/>
            </w:pPr>
            <w:r/>
            <w:r>
              <w:rPr>
                <w:rFonts w:ascii="Arial" w:hAnsi="Arial"/>
                <w:b w:val="0"/>
                <w:sz w:val="18"/>
              </w:rPr>
              <w:t>Mohamed EL AFRIT</w:t>
            </w:r>
          </w:p>
        </w:tc>
        <w:tc>
          <w:tcPr>
            <w:tcW w:type="dxa" w:w="4649"/>
          </w:tcPr>
          <w:p>
            <w:pPr>
              <w:spacing w:after="40" w:before="20"/>
            </w:pPr>
            <w:r/>
            <w:r>
              <w:rPr>
                <w:rFonts w:ascii="Arial" w:hAnsi="Arial"/>
                <w:b w:val="0"/>
                <w:sz w:val="18"/>
              </w:rPr>
              <w:t>Coûts du chantier applicatif intégrés</w:t>
            </w:r>
          </w:p>
        </w:tc>
        <w:tc>
          <w:tcPr>
            <w:tcW w:type="dxa" w:w="1701"/>
          </w:tcPr>
          <w:p>
            <w:pPr>
              <w:spacing w:after="40" w:before="20"/>
            </w:pPr>
            <w:r/>
            <w:r>
              <w:rPr>
                <w:rFonts w:ascii="Arial" w:hAnsi="Arial"/>
                <w:b w:val="0"/>
                <w:sz w:val="18"/>
              </w:rPr>
              <w:t>01/04/2026</w:t>
            </w:r>
          </w:p>
        </w:tc>
      </w:tr>
      <w:tr>
        <w:tc>
          <w:tcPr>
            <w:tcW w:type="dxa" w:w="907"/>
          </w:tcPr>
          <w:p>
            <w:pPr>
              <w:spacing w:after="40" w:before="20"/>
            </w:pPr>
            <w:r/>
            <w:r>
              <w:rPr>
                <w:rFonts w:ascii="Arial" w:hAnsi="Arial"/>
                <w:b w:val="0"/>
                <w:sz w:val="18"/>
              </w:rPr>
              <w:t>V2.1</w:t>
            </w:r>
          </w:p>
        </w:tc>
        <w:tc>
          <w:tcPr>
            <w:tcW w:type="dxa" w:w="2494"/>
          </w:tcPr>
          <w:p>
            <w:pPr>
              <w:spacing w:after="40" w:before="20"/>
            </w:pPr>
            <w:r/>
            <w:r>
              <w:rPr>
                <w:rFonts w:ascii="Arial" w:hAnsi="Arial"/>
                <w:b w:val="0"/>
                <w:sz w:val="18"/>
              </w:rPr>
              <w:t>Mohamed EL AFRIT</w:t>
            </w:r>
          </w:p>
        </w:tc>
        <w:tc>
          <w:tcPr>
            <w:tcW w:type="dxa" w:w="4649"/>
          </w:tcPr>
          <w:p>
            <w:pPr>
              <w:spacing w:after="40" w:before="20"/>
            </w:pPr>
            <w:r/>
            <w:r>
              <w:rPr>
                <w:rFonts w:ascii="Arial" w:hAnsi="Arial"/>
                <w:b w:val="0"/>
                <w:sz w:val="18"/>
              </w:rPr>
              <w:t>Réestimation après extension du périmètre documentaire</w:t>
            </w:r>
          </w:p>
        </w:tc>
        <w:tc>
          <w:tcPr>
            <w:tcW w:type="dxa" w:w="1701"/>
          </w:tcPr>
          <w:p>
            <w:pPr>
              <w:spacing w:after="40" w:before="20"/>
            </w:pPr>
            <w:r/>
            <w:r>
              <w:rPr>
                <w:rFonts w:ascii="Arial" w:hAnsi="Arial"/>
                <w:b w:val="0"/>
                <w:sz w:val="18"/>
              </w:rPr>
              <w:t>30/06/2026</w:t>
            </w:r>
          </w:p>
        </w:tc>
      </w:tr>
      <w:tr>
        <w:tc>
          <w:tcPr>
            <w:tcW w:type="dxa" w:w="907"/>
          </w:tcPr>
          <w:p>
            <w:pPr>
              <w:spacing w:after="40" w:before="20"/>
            </w:pPr>
            <w:r/>
            <w:r>
              <w:rPr>
                <w:rFonts w:ascii="Arial" w:hAnsi="Arial"/>
                <w:b w:val="0"/>
                <w:sz w:val="18"/>
              </w:rPr>
              <w:t>V3.0</w:t>
            </w:r>
          </w:p>
        </w:tc>
        <w:tc>
          <w:tcPr>
            <w:tcW w:type="dxa" w:w="2494"/>
          </w:tcPr>
          <w:p>
            <w:pPr>
              <w:spacing w:after="40" w:before="20"/>
            </w:pPr>
            <w:r/>
            <w:r>
              <w:rPr>
                <w:rFonts w:ascii="Arial" w:hAnsi="Arial"/>
                <w:b w:val="0"/>
                <w:sz w:val="18"/>
              </w:rPr>
              <w:t>Mohamed EL AFRIT</w:t>
            </w:r>
          </w:p>
        </w:tc>
        <w:tc>
          <w:tcPr>
            <w:tcW w:type="dxa" w:w="4649"/>
          </w:tcPr>
          <w:p>
            <w:pPr>
              <w:spacing w:after="40" w:before="20"/>
            </w:pPr>
            <w:r/>
            <w:r>
              <w:rPr>
                <w:rFonts w:ascii="Arial" w:hAnsi="Arial"/>
                <w:b w:val="0"/>
                <w:sz w:val="18"/>
              </w:rPr>
              <w:t>Consommé réel et analyse des écarts</w:t>
            </w:r>
          </w:p>
        </w:tc>
        <w:tc>
          <w:tcPr>
            <w:tcW w:type="dxa" w:w="1701"/>
          </w:tcPr>
          <w:p>
            <w:pPr>
              <w:spacing w:after="40" w:before="20"/>
            </w:pPr>
            <w:r/>
            <w:r>
              <w:rPr>
                <w:rFonts w:ascii="Arial" w:hAnsi="Arial"/>
                <w:b w:val="0"/>
                <w:sz w:val="18"/>
              </w:rPr>
              <w:t>21/08/2026</w:t>
            </w:r>
          </w:p>
        </w:tc>
      </w:tr>
    </w:tbl>
    <w:p>
      <w:pPr>
        <w:spacing w:before="0" w:after="120"/>
      </w:pP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9752"/>
      </w:tblGrid>
      <w:tr>
        <w:tc>
          <w:tcPr>
            <w:tcW w:type="dxa" w:w="9752"/>
            <w:shd w:val="clear" w:fill="EAEFF7"/>
          </w:tcPr>
          <w:p>
            <w:pPr>
              <w:spacing w:after="20" w:before="20"/>
            </w:pPr>
            <w:r/>
            <w:r>
              <w:rPr>
                <w:rFonts w:ascii="Arial" w:hAnsi="Arial"/>
                <w:b/>
                <w:color w:val="1F3864"/>
                <w:sz w:val="20"/>
              </w:rPr>
              <w:t>Étape 1 · Identification des ressources</w:t>
            </w:r>
          </w:p>
        </w:tc>
      </w:tr>
      <w:tr>
        <w:tc>
          <w:tcPr>
            <w:tcW w:type="dxa" w:w="9752"/>
          </w:tcPr>
          <w:p>
            <w:pPr>
              <w:spacing w:after="60" w:before="20"/>
            </w:pPr>
            <w:r/>
            <w:r>
              <w:rPr>
                <w:rFonts w:ascii="Arial" w:hAnsi="Arial"/>
                <w:b w:val="0"/>
                <w:sz w:val="18"/>
              </w:rPr>
              <w:t>Le projet ne mobilise ni achat ni prestation externe : sa ressource principale est du temps interne. Cinq contributions sont valorisées, auxquelles s'ajoutent quatre postes de coûts directs. Le temps du certificateur, sollicité pour un avis d'expert, n'est pas valorisé : il a été apporté gracieusement.</w:t>
            </w:r>
          </w:p>
        </w:tc>
      </w:tr>
    </w:tbl>
    <w:p>
      <w:pPr>
        <w:spacing w:before="0" w:after="120"/>
      </w:pPr>
    </w:p>
    <w:p>
      <w:pPr>
        <w:spacing w:before="40" w:after="60"/>
      </w:pPr>
      <w:r>
        <w:rPr>
          <w:rFonts w:ascii="Arial" w:hAnsi="Arial"/>
          <w:b/>
          <w:i w:val="0"/>
          <w:color w:val="1F3864"/>
          <w:sz w:val="20"/>
        </w:rPr>
        <w:t>Étape 2 · Chiffrage du temps interne</w:t>
      </w: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1950"/>
        <w:gridCol w:w="1950"/>
        <w:gridCol w:w="1950"/>
        <w:gridCol w:w="1950"/>
        <w:gridCol w:w="1950"/>
      </w:tblGrid>
      <w:tr>
        <w:trPr>
          <w:tblHeader w:val="true"/>
        </w:trPr>
        <w:tc>
          <w:tcPr>
            <w:tcW w:type="dxa" w:w="3061"/>
            <w:shd w:val="clear" w:fill="1F3864"/>
          </w:tcPr>
          <w:p>
            <w:pPr>
              <w:spacing w:after="20" w:before="20"/>
            </w:pPr>
            <w:r/>
            <w:r>
              <w:rPr>
                <w:rFonts w:ascii="Arial" w:hAnsi="Arial"/>
                <w:b/>
                <w:color w:val="FFFFFF"/>
                <w:sz w:val="16"/>
              </w:rPr>
              <w:t>Contribution</w:t>
            </w:r>
          </w:p>
        </w:tc>
        <w:tc>
          <w:tcPr>
            <w:tcW w:type="dxa" w:w="1020"/>
            <w:shd w:val="clear" w:fill="1F3864"/>
          </w:tcPr>
          <w:p>
            <w:pPr>
              <w:spacing w:after="20" w:before="20"/>
            </w:pPr>
            <w:r/>
            <w:r>
              <w:rPr>
                <w:rFonts w:ascii="Arial" w:hAnsi="Arial"/>
                <w:b/>
                <w:color w:val="FFFFFF"/>
                <w:sz w:val="16"/>
              </w:rPr>
              <w:t>Budgété</w:t>
            </w:r>
          </w:p>
        </w:tc>
        <w:tc>
          <w:tcPr>
            <w:tcW w:type="dxa" w:w="1077"/>
            <w:shd w:val="clear" w:fill="1F3864"/>
          </w:tcPr>
          <w:p>
            <w:pPr>
              <w:spacing w:after="20" w:before="20"/>
            </w:pPr>
            <w:r/>
            <w:r>
              <w:rPr>
                <w:rFonts w:ascii="Arial" w:hAnsi="Arial"/>
                <w:b/>
                <w:color w:val="FFFFFF"/>
                <w:sz w:val="16"/>
              </w:rPr>
              <w:t>Consommé</w:t>
            </w:r>
          </w:p>
        </w:tc>
        <w:tc>
          <w:tcPr>
            <w:tcW w:type="dxa" w:w="1077"/>
            <w:shd w:val="clear" w:fill="1F3864"/>
          </w:tcPr>
          <w:p>
            <w:pPr>
              <w:spacing w:after="20" w:before="20"/>
            </w:pPr>
            <w:r/>
            <w:r>
              <w:rPr>
                <w:rFonts w:ascii="Arial" w:hAnsi="Arial"/>
                <w:b/>
                <w:color w:val="FFFFFF"/>
                <w:sz w:val="16"/>
              </w:rPr>
              <w:t>Écart</w:t>
            </w:r>
          </w:p>
        </w:tc>
        <w:tc>
          <w:tcPr>
            <w:tcW w:type="dxa" w:w="3515"/>
            <w:shd w:val="clear" w:fill="1F3864"/>
          </w:tcPr>
          <w:p>
            <w:pPr>
              <w:spacing w:after="20" w:before="20"/>
            </w:pPr>
            <w:r/>
            <w:r>
              <w:rPr>
                <w:rFonts w:ascii="Arial" w:hAnsi="Arial"/>
                <w:b/>
                <w:color w:val="FFFFFF"/>
                <w:sz w:val="16"/>
              </w:rPr>
              <w:t>Observation</w:t>
            </w:r>
          </w:p>
        </w:tc>
      </w:tr>
      <w:tr>
        <w:tc>
          <w:tcPr>
            <w:tcW w:type="dxa" w:w="3061"/>
          </w:tcPr>
          <w:p>
            <w:pPr>
              <w:spacing w:after="20" w:before="20"/>
            </w:pPr>
            <w:r/>
            <w:r>
              <w:rPr>
                <w:rFonts w:ascii="Arial" w:hAnsi="Arial"/>
                <w:b w:val="0"/>
                <w:sz w:val="16"/>
              </w:rPr>
              <w:t>Chef de projet, temps contractuel</w:t>
            </w:r>
          </w:p>
        </w:tc>
        <w:tc>
          <w:tcPr>
            <w:tcW w:type="dxa" w:w="1020"/>
          </w:tcPr>
          <w:p>
            <w:pPr>
              <w:spacing w:after="20" w:before="20"/>
            </w:pPr>
            <w:r/>
            <w:r>
              <w:rPr>
                <w:rFonts w:ascii="Arial" w:hAnsi="Arial"/>
                <w:b w:val="0"/>
                <w:sz w:val="16"/>
              </w:rPr>
              <w:t>35 j</w:t>
            </w:r>
          </w:p>
        </w:tc>
        <w:tc>
          <w:tcPr>
            <w:tcW w:type="dxa" w:w="1077"/>
          </w:tcPr>
          <w:p>
            <w:pPr>
              <w:spacing w:after="20" w:before="20"/>
            </w:pPr>
            <w:r/>
            <w:r>
              <w:rPr>
                <w:rFonts w:ascii="Arial" w:hAnsi="Arial"/>
                <w:b w:val="0"/>
                <w:sz w:val="16"/>
              </w:rPr>
              <w:t>35 j</w:t>
            </w:r>
          </w:p>
        </w:tc>
        <w:tc>
          <w:tcPr>
            <w:tcW w:type="dxa" w:w="1077"/>
          </w:tcPr>
          <w:p>
            <w:pPr>
              <w:spacing w:after="20" w:before="20"/>
            </w:pPr>
            <w:r/>
            <w:r>
              <w:rPr>
                <w:rFonts w:ascii="Arial" w:hAnsi="Arial"/>
                <w:b w:val="0"/>
                <w:sz w:val="16"/>
              </w:rPr>
              <w:t>=</w:t>
            </w:r>
          </w:p>
        </w:tc>
        <w:tc>
          <w:tcPr>
            <w:tcW w:type="dxa" w:w="3515"/>
          </w:tcPr>
          <w:p>
            <w:pPr>
              <w:spacing w:after="20" w:before="20"/>
            </w:pPr>
            <w:r/>
            <w:r>
              <w:rPr>
                <w:rFonts w:ascii="Arial" w:hAnsi="Arial"/>
                <w:b w:val="0"/>
                <w:sz w:val="16"/>
              </w:rPr>
              <w:t>Un jour par semaine sur la durée de la mission</w:t>
            </w:r>
          </w:p>
        </w:tc>
      </w:tr>
      <w:tr>
        <w:tc>
          <w:tcPr>
            <w:tcW w:type="dxa" w:w="3061"/>
          </w:tcPr>
          <w:p>
            <w:pPr>
              <w:spacing w:after="20" w:before="20"/>
            </w:pPr>
            <w:r/>
            <w:r>
              <w:rPr>
                <w:rFonts w:ascii="Arial" w:hAnsi="Arial"/>
                <w:b w:val="0"/>
                <w:sz w:val="16"/>
              </w:rPr>
              <w:t>Chef de projet, hors temps contractuel</w:t>
            </w:r>
          </w:p>
        </w:tc>
        <w:tc>
          <w:tcPr>
            <w:tcW w:type="dxa" w:w="1020"/>
          </w:tcPr>
          <w:p>
            <w:pPr>
              <w:spacing w:after="20" w:before="20"/>
            </w:pPr>
            <w:r/>
            <w:r>
              <w:rPr>
                <w:rFonts w:ascii="Arial" w:hAnsi="Arial"/>
                <w:b w:val="0"/>
                <w:sz w:val="16"/>
              </w:rPr>
              <w:t>0 j</w:t>
            </w:r>
          </w:p>
        </w:tc>
        <w:tc>
          <w:tcPr>
            <w:tcW w:type="dxa" w:w="1077"/>
          </w:tcPr>
          <w:p>
            <w:pPr>
              <w:spacing w:after="20" w:before="20"/>
            </w:pPr>
            <w:r/>
            <w:r>
              <w:rPr>
                <w:rFonts w:ascii="Arial" w:hAnsi="Arial"/>
                <w:b w:val="0"/>
                <w:sz w:val="16"/>
              </w:rPr>
              <w:t>56 j</w:t>
            </w:r>
          </w:p>
        </w:tc>
        <w:tc>
          <w:tcPr>
            <w:tcW w:type="dxa" w:w="1077"/>
          </w:tcPr>
          <w:p>
            <w:pPr>
              <w:spacing w:after="20" w:before="20"/>
            </w:pPr>
            <w:r/>
            <w:r>
              <w:rPr>
                <w:rFonts w:ascii="Arial" w:hAnsi="Arial"/>
                <w:b w:val="0"/>
                <w:sz w:val="16"/>
              </w:rPr>
              <w:t>+56 j</w:t>
            </w:r>
          </w:p>
        </w:tc>
        <w:tc>
          <w:tcPr>
            <w:tcW w:type="dxa" w:w="3515"/>
          </w:tcPr>
          <w:p>
            <w:pPr>
              <w:spacing w:after="20" w:before="20"/>
            </w:pPr>
            <w:r/>
            <w:r>
              <w:rPr>
                <w:rFonts w:ascii="Arial" w:hAnsi="Arial"/>
                <w:b w:val="0"/>
                <w:sz w:val="16"/>
              </w:rPr>
              <w:t>Soirées et fins de semaine, non facturées</w:t>
            </w:r>
          </w:p>
        </w:tc>
      </w:tr>
      <w:tr>
        <w:tc>
          <w:tcPr>
            <w:tcW w:type="dxa" w:w="3061"/>
          </w:tcPr>
          <w:p>
            <w:pPr>
              <w:spacing w:after="20" w:before="20"/>
            </w:pPr>
            <w:r/>
            <w:r>
              <w:rPr>
                <w:rFonts w:ascii="Arial" w:hAnsi="Arial"/>
                <w:b w:val="0"/>
                <w:sz w:val="16"/>
              </w:rPr>
              <w:t>Responsable pédagogique</w:t>
            </w:r>
          </w:p>
        </w:tc>
        <w:tc>
          <w:tcPr>
            <w:tcW w:type="dxa" w:w="1020"/>
          </w:tcPr>
          <w:p>
            <w:pPr>
              <w:spacing w:after="20" w:before="20"/>
            </w:pPr>
            <w:r/>
            <w:r>
              <w:rPr>
                <w:rFonts w:ascii="Arial" w:hAnsi="Arial"/>
                <w:b w:val="0"/>
                <w:sz w:val="16"/>
              </w:rPr>
              <w:t>22 j</w:t>
            </w:r>
          </w:p>
        </w:tc>
        <w:tc>
          <w:tcPr>
            <w:tcW w:type="dxa" w:w="1077"/>
          </w:tcPr>
          <w:p>
            <w:pPr>
              <w:spacing w:after="20" w:before="20"/>
            </w:pPr>
            <w:r/>
            <w:r>
              <w:rPr>
                <w:rFonts w:ascii="Arial" w:hAnsi="Arial"/>
                <w:b w:val="0"/>
                <w:sz w:val="16"/>
              </w:rPr>
              <w:t>40 j</w:t>
            </w:r>
          </w:p>
        </w:tc>
        <w:tc>
          <w:tcPr>
            <w:tcW w:type="dxa" w:w="1077"/>
          </w:tcPr>
          <w:p>
            <w:pPr>
              <w:spacing w:after="20" w:before="20"/>
            </w:pPr>
            <w:r/>
            <w:r>
              <w:rPr>
                <w:rFonts w:ascii="Arial" w:hAnsi="Arial"/>
                <w:b w:val="0"/>
                <w:sz w:val="16"/>
              </w:rPr>
              <w:t>+18 j</w:t>
            </w:r>
          </w:p>
        </w:tc>
        <w:tc>
          <w:tcPr>
            <w:tcW w:type="dxa" w:w="3515"/>
          </w:tcPr>
          <w:p>
            <w:pPr>
              <w:spacing w:after="20" w:before="20"/>
            </w:pPr>
            <w:r/>
            <w:r>
              <w:rPr>
                <w:rFonts w:ascii="Arial" w:hAnsi="Arial"/>
                <w:b w:val="0"/>
                <w:sz w:val="16"/>
              </w:rPr>
              <w:t>Validation, arbitrages, plannings, recette de l'application</w:t>
            </w:r>
          </w:p>
        </w:tc>
      </w:tr>
      <w:tr>
        <w:tc>
          <w:tcPr>
            <w:tcW w:type="dxa" w:w="3061"/>
          </w:tcPr>
          <w:p>
            <w:pPr>
              <w:spacing w:after="20" w:before="20"/>
            </w:pPr>
            <w:r/>
            <w:r>
              <w:rPr>
                <w:rFonts w:ascii="Arial" w:hAnsi="Arial"/>
                <w:b w:val="0"/>
                <w:sz w:val="16"/>
              </w:rPr>
              <w:t>Équipe commerciale et administrative</w:t>
            </w:r>
          </w:p>
        </w:tc>
        <w:tc>
          <w:tcPr>
            <w:tcW w:type="dxa" w:w="1020"/>
          </w:tcPr>
          <w:p>
            <w:pPr>
              <w:spacing w:after="20" w:before="20"/>
            </w:pPr>
            <w:r/>
            <w:r>
              <w:rPr>
                <w:rFonts w:ascii="Arial" w:hAnsi="Arial"/>
                <w:b w:val="0"/>
                <w:sz w:val="16"/>
              </w:rPr>
              <w:t>8 j</w:t>
            </w:r>
          </w:p>
        </w:tc>
        <w:tc>
          <w:tcPr>
            <w:tcW w:type="dxa" w:w="1077"/>
          </w:tcPr>
          <w:p>
            <w:pPr>
              <w:spacing w:after="20" w:before="20"/>
            </w:pPr>
            <w:r/>
            <w:r>
              <w:rPr>
                <w:rFonts w:ascii="Arial" w:hAnsi="Arial"/>
                <w:b w:val="0"/>
                <w:sz w:val="16"/>
              </w:rPr>
              <w:t>10 j</w:t>
            </w:r>
          </w:p>
        </w:tc>
        <w:tc>
          <w:tcPr>
            <w:tcW w:type="dxa" w:w="1077"/>
          </w:tcPr>
          <w:p>
            <w:pPr>
              <w:spacing w:after="20" w:before="20"/>
            </w:pPr>
            <w:r/>
            <w:r>
              <w:rPr>
                <w:rFonts w:ascii="Arial" w:hAnsi="Arial"/>
                <w:b w:val="0"/>
                <w:sz w:val="16"/>
              </w:rPr>
              <w:t>+2 j</w:t>
            </w:r>
          </w:p>
        </w:tc>
        <w:tc>
          <w:tcPr>
            <w:tcW w:type="dxa" w:w="3515"/>
          </w:tcPr>
          <w:p>
            <w:pPr>
              <w:spacing w:after="20" w:before="20"/>
            </w:pPr>
            <w:r/>
            <w:r>
              <w:rPr>
                <w:rFonts w:ascii="Arial" w:hAnsi="Arial"/>
                <w:b w:val="0"/>
                <w:sz w:val="16"/>
              </w:rPr>
              <w:t>Diffusion, sourcing, relations entreprises</w:t>
            </w:r>
          </w:p>
        </w:tc>
      </w:tr>
      <w:tr>
        <w:tc>
          <w:tcPr>
            <w:tcW w:type="dxa" w:w="3061"/>
          </w:tcPr>
          <w:p>
            <w:pPr>
              <w:spacing w:after="20" w:before="20"/>
            </w:pPr>
            <w:r/>
            <w:r>
              <w:rPr>
                <w:rFonts w:ascii="Arial" w:hAnsi="Arial"/>
                <w:b w:val="0"/>
                <w:sz w:val="16"/>
              </w:rPr>
              <w:t>Formateurs, contribution collective</w:t>
            </w:r>
          </w:p>
        </w:tc>
        <w:tc>
          <w:tcPr>
            <w:tcW w:type="dxa" w:w="1020"/>
          </w:tcPr>
          <w:p>
            <w:pPr>
              <w:spacing w:after="20" w:before="20"/>
            </w:pPr>
            <w:r/>
            <w:r>
              <w:rPr>
                <w:rFonts w:ascii="Arial" w:hAnsi="Arial"/>
                <w:b w:val="0"/>
                <w:sz w:val="16"/>
              </w:rPr>
              <w:t>3 j</w:t>
            </w:r>
          </w:p>
        </w:tc>
        <w:tc>
          <w:tcPr>
            <w:tcW w:type="dxa" w:w="1077"/>
          </w:tcPr>
          <w:p>
            <w:pPr>
              <w:spacing w:after="20" w:before="20"/>
            </w:pPr>
            <w:r/>
            <w:r>
              <w:rPr>
                <w:rFonts w:ascii="Arial" w:hAnsi="Arial"/>
                <w:b w:val="0"/>
                <w:sz w:val="16"/>
              </w:rPr>
              <w:t>5 j</w:t>
            </w:r>
          </w:p>
        </w:tc>
        <w:tc>
          <w:tcPr>
            <w:tcW w:type="dxa" w:w="1077"/>
          </w:tcPr>
          <w:p>
            <w:pPr>
              <w:spacing w:after="20" w:before="20"/>
            </w:pPr>
            <w:r/>
            <w:r>
              <w:rPr>
                <w:rFonts w:ascii="Arial" w:hAnsi="Arial"/>
                <w:b w:val="0"/>
                <w:sz w:val="16"/>
              </w:rPr>
              <w:t>+2 j</w:t>
            </w:r>
          </w:p>
        </w:tc>
        <w:tc>
          <w:tcPr>
            <w:tcW w:type="dxa" w:w="3515"/>
          </w:tcPr>
          <w:p>
            <w:pPr>
              <w:spacing w:after="20" w:before="20"/>
            </w:pPr>
            <w:r/>
            <w:r>
              <w:rPr>
                <w:rFonts w:ascii="Arial" w:hAnsi="Arial"/>
                <w:b w:val="0"/>
                <w:sz w:val="16"/>
              </w:rPr>
              <w:t>Déclarations, relecture croisée, apports de contenu</w:t>
            </w:r>
          </w:p>
        </w:tc>
      </w:tr>
      <w:tr>
        <w:tc>
          <w:tcPr>
            <w:tcW w:type="dxa" w:w="3061"/>
          </w:tcPr>
          <w:p>
            <w:pPr>
              <w:spacing w:after="20" w:before="20"/>
            </w:pPr>
            <w:r/>
            <w:r>
              <w:rPr>
                <w:rFonts w:ascii="Arial" w:hAnsi="Arial"/>
                <w:b w:val="0"/>
                <w:sz w:val="16"/>
              </w:rPr>
              <w:t>Total en jours</w:t>
            </w:r>
          </w:p>
        </w:tc>
        <w:tc>
          <w:tcPr>
            <w:tcW w:type="dxa" w:w="1020"/>
          </w:tcPr>
          <w:p>
            <w:pPr>
              <w:spacing w:after="20" w:before="20"/>
            </w:pPr>
            <w:r/>
            <w:r>
              <w:rPr>
                <w:rFonts w:ascii="Arial" w:hAnsi="Arial"/>
                <w:b w:val="0"/>
                <w:sz w:val="16"/>
              </w:rPr>
              <w:t>68 j</w:t>
            </w:r>
          </w:p>
        </w:tc>
        <w:tc>
          <w:tcPr>
            <w:tcW w:type="dxa" w:w="1077"/>
          </w:tcPr>
          <w:p>
            <w:pPr>
              <w:spacing w:after="20" w:before="20"/>
            </w:pPr>
            <w:r/>
            <w:r>
              <w:rPr>
                <w:rFonts w:ascii="Arial" w:hAnsi="Arial"/>
                <w:b w:val="0"/>
                <w:sz w:val="16"/>
              </w:rPr>
              <w:t>146 j</w:t>
            </w:r>
          </w:p>
        </w:tc>
        <w:tc>
          <w:tcPr>
            <w:tcW w:type="dxa" w:w="1077"/>
          </w:tcPr>
          <w:p>
            <w:pPr>
              <w:spacing w:after="20" w:before="20"/>
            </w:pPr>
            <w:r/>
            <w:r>
              <w:rPr>
                <w:rFonts w:ascii="Arial" w:hAnsi="Arial"/>
                <w:b w:val="0"/>
                <w:sz w:val="16"/>
              </w:rPr>
              <w:t>+78 j</w:t>
            </w:r>
          </w:p>
        </w:tc>
        <w:tc>
          <w:tcPr>
            <w:tcW w:type="dxa" w:w="3515"/>
          </w:tcPr>
          <w:p>
            <w:pPr>
              <w:spacing w:after="20" w:before="20"/>
            </w:pPr>
            <w:r/>
            <w:r>
              <w:rPr>
                <w:rFonts w:ascii="Arial" w:hAnsi="Arial"/>
                <w:b w:val="0"/>
                <w:sz w:val="16"/>
              </w:rPr>
            </w:r>
          </w:p>
        </w:tc>
      </w:tr>
      <w:tr>
        <w:tc>
          <w:tcPr>
            <w:tcW w:type="dxa" w:w="3061"/>
          </w:tcPr>
          <w:p>
            <w:pPr>
              <w:spacing w:after="20" w:before="20"/>
            </w:pPr>
            <w:r/>
            <w:r>
              <w:rPr>
                <w:rFonts w:ascii="Arial" w:hAnsi="Arial"/>
                <w:b w:val="0"/>
                <w:sz w:val="16"/>
              </w:rPr>
              <w:t>Total valorisé</w:t>
            </w:r>
          </w:p>
        </w:tc>
        <w:tc>
          <w:tcPr>
            <w:tcW w:type="dxa" w:w="1020"/>
          </w:tcPr>
          <w:p>
            <w:pPr>
              <w:spacing w:after="20" w:before="20"/>
            </w:pPr>
            <w:r/>
            <w:r>
              <w:rPr>
                <w:rFonts w:ascii="Arial" w:hAnsi="Arial"/>
                <w:b w:val="0"/>
                <w:sz w:val="16"/>
              </w:rPr>
              <w:t>23 800 €</w:t>
            </w:r>
          </w:p>
        </w:tc>
        <w:tc>
          <w:tcPr>
            <w:tcW w:type="dxa" w:w="1077"/>
          </w:tcPr>
          <w:p>
            <w:pPr>
              <w:spacing w:after="20" w:before="20"/>
            </w:pPr>
            <w:r/>
            <w:r>
              <w:rPr>
                <w:rFonts w:ascii="Arial" w:hAnsi="Arial"/>
                <w:b w:val="0"/>
                <w:sz w:val="16"/>
              </w:rPr>
              <w:t>51 100 €</w:t>
            </w:r>
          </w:p>
        </w:tc>
        <w:tc>
          <w:tcPr>
            <w:tcW w:type="dxa" w:w="1077"/>
          </w:tcPr>
          <w:p>
            <w:pPr>
              <w:spacing w:after="20" w:before="20"/>
            </w:pPr>
            <w:r/>
            <w:r>
              <w:rPr>
                <w:rFonts w:ascii="Arial" w:hAnsi="Arial"/>
                <w:b w:val="0"/>
                <w:sz w:val="16"/>
              </w:rPr>
              <w:t>+27 300 €</w:t>
            </w:r>
          </w:p>
        </w:tc>
        <w:tc>
          <w:tcPr>
            <w:tcW w:type="dxa" w:w="3515"/>
          </w:tcPr>
          <w:p>
            <w:pPr>
              <w:spacing w:after="20" w:before="20"/>
            </w:pPr>
            <w:r/>
            <w:r>
              <w:rPr>
                <w:rFonts w:ascii="Arial" w:hAnsi="Arial"/>
                <w:b w:val="0"/>
                <w:sz w:val="16"/>
              </w:rPr>
              <w:t>Convention de 350 € par jour</w:t>
            </w:r>
          </w:p>
        </w:tc>
      </w:tr>
    </w:tbl>
    <w:p>
      <w:pPr>
        <w:spacing w:before="0" w:after="120"/>
      </w:pPr>
    </w:p>
    <w:p>
      <w:pPr>
        <w:spacing w:before="40" w:after="60"/>
      </w:pPr>
      <w:r>
        <w:rPr>
          <w:rFonts w:ascii="Arial" w:hAnsi="Arial"/>
          <w:b/>
          <w:i w:val="0"/>
          <w:color w:val="1F3864"/>
          <w:sz w:val="20"/>
        </w:rPr>
        <w:t>Étape 2 · Coûts directs</w:t>
      </w: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2438"/>
        <w:gridCol w:w="2438"/>
        <w:gridCol w:w="2438"/>
        <w:gridCol w:w="2438"/>
      </w:tblGrid>
      <w:tr>
        <w:trPr>
          <w:tblHeader w:val="true"/>
        </w:trPr>
        <w:tc>
          <w:tcPr>
            <w:tcW w:type="dxa" w:w="3061"/>
            <w:shd w:val="clear" w:fill="1F3864"/>
          </w:tcPr>
          <w:p>
            <w:pPr>
              <w:spacing w:after="20" w:before="20"/>
            </w:pPr>
            <w:r/>
            <w:r>
              <w:rPr>
                <w:rFonts w:ascii="Arial" w:hAnsi="Arial"/>
                <w:b/>
                <w:color w:val="FFFFFF"/>
                <w:sz w:val="16"/>
              </w:rPr>
              <w:t>Poste</w:t>
            </w:r>
          </w:p>
        </w:tc>
        <w:tc>
          <w:tcPr>
            <w:tcW w:type="dxa" w:w="1247"/>
            <w:shd w:val="clear" w:fill="1F3864"/>
          </w:tcPr>
          <w:p>
            <w:pPr>
              <w:spacing w:after="20" w:before="20"/>
            </w:pPr>
            <w:r/>
            <w:r>
              <w:rPr>
                <w:rFonts w:ascii="Arial" w:hAnsi="Arial"/>
                <w:b/>
                <w:color w:val="FFFFFF"/>
                <w:sz w:val="16"/>
              </w:rPr>
              <w:t>Budgété</w:t>
            </w:r>
          </w:p>
        </w:tc>
        <w:tc>
          <w:tcPr>
            <w:tcW w:type="dxa" w:w="1247"/>
            <w:shd w:val="clear" w:fill="1F3864"/>
          </w:tcPr>
          <w:p>
            <w:pPr>
              <w:spacing w:after="20" w:before="20"/>
            </w:pPr>
            <w:r/>
            <w:r>
              <w:rPr>
                <w:rFonts w:ascii="Arial" w:hAnsi="Arial"/>
                <w:b/>
                <w:color w:val="FFFFFF"/>
                <w:sz w:val="16"/>
              </w:rPr>
              <w:t>Consommé</w:t>
            </w:r>
          </w:p>
        </w:tc>
        <w:tc>
          <w:tcPr>
            <w:tcW w:type="dxa" w:w="4195"/>
            <w:shd w:val="clear" w:fill="1F3864"/>
          </w:tcPr>
          <w:p>
            <w:pPr>
              <w:spacing w:after="20" w:before="20"/>
            </w:pPr>
            <w:r/>
            <w:r>
              <w:rPr>
                <w:rFonts w:ascii="Arial" w:hAnsi="Arial"/>
                <w:b/>
                <w:color w:val="FFFFFF"/>
                <w:sz w:val="16"/>
              </w:rPr>
              <w:t>Observation</w:t>
            </w:r>
          </w:p>
        </w:tc>
      </w:tr>
      <w:tr>
        <w:tc>
          <w:tcPr>
            <w:tcW w:type="dxa" w:w="3061"/>
          </w:tcPr>
          <w:p>
            <w:pPr>
              <w:spacing w:after="20" w:before="20"/>
            </w:pPr>
            <w:r/>
            <w:r>
              <w:rPr>
                <w:rFonts w:ascii="Arial" w:hAnsi="Arial"/>
                <w:b w:val="0"/>
                <w:sz w:val="16"/>
              </w:rPr>
              <w:t>Hébergement et nom de domaine</w:t>
            </w:r>
          </w:p>
        </w:tc>
        <w:tc>
          <w:tcPr>
            <w:tcW w:type="dxa" w:w="1247"/>
          </w:tcPr>
          <w:p>
            <w:pPr>
              <w:spacing w:after="20" w:before="20"/>
            </w:pPr>
            <w:r/>
            <w:r>
              <w:rPr>
                <w:rFonts w:ascii="Arial" w:hAnsi="Arial"/>
                <w:b w:val="0"/>
                <w:sz w:val="16"/>
              </w:rPr>
              <w:t>150 €</w:t>
            </w:r>
          </w:p>
        </w:tc>
        <w:tc>
          <w:tcPr>
            <w:tcW w:type="dxa" w:w="1247"/>
          </w:tcPr>
          <w:p>
            <w:pPr>
              <w:spacing w:after="20" w:before="20"/>
            </w:pPr>
            <w:r/>
            <w:r>
              <w:rPr>
                <w:rFonts w:ascii="Arial" w:hAnsi="Arial"/>
                <w:b w:val="0"/>
                <w:sz w:val="16"/>
              </w:rPr>
              <w:t>150 €</w:t>
            </w:r>
          </w:p>
        </w:tc>
        <w:tc>
          <w:tcPr>
            <w:tcW w:type="dxa" w:w="4195"/>
          </w:tcPr>
          <w:p>
            <w:pPr>
              <w:spacing w:after="20" w:before="20"/>
            </w:pPr>
            <w:r/>
            <w:r>
              <w:rPr>
                <w:rFonts w:ascii="Arial" w:hAnsi="Arial"/>
                <w:b w:val="0"/>
                <w:sz w:val="16"/>
              </w:rPr>
              <w:t>Coût annuel, mutualisé</w:t>
            </w:r>
          </w:p>
        </w:tc>
      </w:tr>
      <w:tr>
        <w:tc>
          <w:tcPr>
            <w:tcW w:type="dxa" w:w="3061"/>
          </w:tcPr>
          <w:p>
            <w:pPr>
              <w:spacing w:after="20" w:before="20"/>
            </w:pPr>
            <w:r/>
            <w:r>
              <w:rPr>
                <w:rFonts w:ascii="Arial" w:hAnsi="Arial"/>
                <w:b w:val="0"/>
                <w:sz w:val="16"/>
              </w:rPr>
              <w:t>Outils d'assistance au développement</w:t>
            </w:r>
          </w:p>
        </w:tc>
        <w:tc>
          <w:tcPr>
            <w:tcW w:type="dxa" w:w="1247"/>
          </w:tcPr>
          <w:p>
            <w:pPr>
              <w:spacing w:after="20" w:before="20"/>
            </w:pPr>
            <w:r/>
            <w:r>
              <w:rPr>
                <w:rFonts w:ascii="Arial" w:hAnsi="Arial"/>
                <w:b w:val="0"/>
                <w:sz w:val="16"/>
              </w:rPr>
              <w:t>0 €</w:t>
            </w:r>
          </w:p>
        </w:tc>
        <w:tc>
          <w:tcPr>
            <w:tcW w:type="dxa" w:w="1247"/>
          </w:tcPr>
          <w:p>
            <w:pPr>
              <w:spacing w:after="20" w:before="20"/>
            </w:pPr>
            <w:r/>
            <w:r>
              <w:rPr>
                <w:rFonts w:ascii="Arial" w:hAnsi="Arial"/>
                <w:b w:val="0"/>
                <w:sz w:val="16"/>
              </w:rPr>
              <w:t>1 000 €</w:t>
            </w:r>
          </w:p>
        </w:tc>
        <w:tc>
          <w:tcPr>
            <w:tcW w:type="dxa" w:w="4195"/>
          </w:tcPr>
          <w:p>
            <w:pPr>
              <w:spacing w:after="20" w:before="20"/>
            </w:pPr>
            <w:r/>
            <w:r>
              <w:rPr>
                <w:rFonts w:ascii="Arial" w:hAnsi="Arial"/>
                <w:b w:val="0"/>
                <w:sz w:val="16"/>
              </w:rPr>
              <w:t>Cinq mois, non prévus au cadrage : le chantier applicatif n'existait pas</w:t>
            </w:r>
          </w:p>
        </w:tc>
      </w:tr>
      <w:tr>
        <w:tc>
          <w:tcPr>
            <w:tcW w:type="dxa" w:w="3061"/>
          </w:tcPr>
          <w:p>
            <w:pPr>
              <w:spacing w:after="20" w:before="20"/>
            </w:pPr>
            <w:r/>
            <w:r>
              <w:rPr>
                <w:rFonts w:ascii="Arial" w:hAnsi="Arial"/>
                <w:b w:val="0"/>
                <w:sz w:val="16"/>
              </w:rPr>
              <w:t>Pack de modèles de gestion de projet</w:t>
            </w:r>
          </w:p>
        </w:tc>
        <w:tc>
          <w:tcPr>
            <w:tcW w:type="dxa" w:w="1247"/>
          </w:tcPr>
          <w:p>
            <w:pPr>
              <w:spacing w:after="20" w:before="20"/>
            </w:pPr>
            <w:r/>
            <w:r>
              <w:rPr>
                <w:rFonts w:ascii="Arial" w:hAnsi="Arial"/>
                <w:b w:val="0"/>
                <w:sz w:val="16"/>
              </w:rPr>
              <w:t>0 €</w:t>
            </w:r>
          </w:p>
        </w:tc>
        <w:tc>
          <w:tcPr>
            <w:tcW w:type="dxa" w:w="1247"/>
          </w:tcPr>
          <w:p>
            <w:pPr>
              <w:spacing w:after="20" w:before="20"/>
            </w:pPr>
            <w:r/>
            <w:r>
              <w:rPr>
                <w:rFonts w:ascii="Arial" w:hAnsi="Arial"/>
                <w:b w:val="0"/>
                <w:sz w:val="16"/>
              </w:rPr>
              <w:t>0 €</w:t>
            </w:r>
          </w:p>
        </w:tc>
        <w:tc>
          <w:tcPr>
            <w:tcW w:type="dxa" w:w="4195"/>
          </w:tcPr>
          <w:p>
            <w:pPr>
              <w:spacing w:after="20" w:before="20"/>
            </w:pPr>
            <w:r/>
            <w:r>
              <w:rPr>
                <w:rFonts w:ascii="Arial" w:hAnsi="Arial"/>
                <w:b w:val="0"/>
                <w:sz w:val="16"/>
              </w:rPr>
              <w:t>Licence déjà détenue</w:t>
            </w:r>
          </w:p>
        </w:tc>
      </w:tr>
      <w:tr>
        <w:tc>
          <w:tcPr>
            <w:tcW w:type="dxa" w:w="3061"/>
          </w:tcPr>
          <w:p>
            <w:pPr>
              <w:spacing w:after="20" w:before="20"/>
            </w:pPr>
            <w:r/>
            <w:r>
              <w:rPr>
                <w:rFonts w:ascii="Arial" w:hAnsi="Arial"/>
                <w:b w:val="0"/>
                <w:sz w:val="16"/>
              </w:rPr>
              <w:t>Impressions et fournitures</w:t>
            </w:r>
          </w:p>
        </w:tc>
        <w:tc>
          <w:tcPr>
            <w:tcW w:type="dxa" w:w="1247"/>
          </w:tcPr>
          <w:p>
            <w:pPr>
              <w:spacing w:after="20" w:before="20"/>
            </w:pPr>
            <w:r/>
            <w:r>
              <w:rPr>
                <w:rFonts w:ascii="Arial" w:hAnsi="Arial"/>
                <w:b w:val="0"/>
                <w:sz w:val="16"/>
              </w:rPr>
              <w:t>1 200 €</w:t>
            </w:r>
          </w:p>
        </w:tc>
        <w:tc>
          <w:tcPr>
            <w:tcW w:type="dxa" w:w="1247"/>
          </w:tcPr>
          <w:p>
            <w:pPr>
              <w:spacing w:after="20" w:before="20"/>
            </w:pPr>
            <w:r/>
            <w:r>
              <w:rPr>
                <w:rFonts w:ascii="Arial" w:hAnsi="Arial"/>
                <w:b w:val="0"/>
                <w:sz w:val="16"/>
              </w:rPr>
              <w:t>1 500 €</w:t>
            </w:r>
          </w:p>
        </w:tc>
        <w:tc>
          <w:tcPr>
            <w:tcW w:type="dxa" w:w="4195"/>
          </w:tcPr>
          <w:p>
            <w:pPr>
              <w:spacing w:after="20" w:before="20"/>
            </w:pPr>
            <w:r/>
            <w:r>
              <w:rPr>
                <w:rFonts w:ascii="Arial" w:hAnsi="Arial"/>
                <w:b w:val="0"/>
                <w:sz w:val="16"/>
              </w:rPr>
              <w:t>Six mois de production documentaire</w:t>
            </w:r>
          </w:p>
        </w:tc>
      </w:tr>
      <w:tr>
        <w:tc>
          <w:tcPr>
            <w:tcW w:type="dxa" w:w="3061"/>
          </w:tcPr>
          <w:p>
            <w:pPr>
              <w:spacing w:after="20" w:before="20"/>
            </w:pPr>
            <w:r/>
            <w:r>
              <w:rPr>
                <w:rFonts w:ascii="Arial" w:hAnsi="Arial"/>
                <w:b w:val="0"/>
                <w:sz w:val="16"/>
              </w:rPr>
              <w:t>Total des coûts directs</w:t>
            </w:r>
          </w:p>
        </w:tc>
        <w:tc>
          <w:tcPr>
            <w:tcW w:type="dxa" w:w="1247"/>
          </w:tcPr>
          <w:p>
            <w:pPr>
              <w:spacing w:after="20" w:before="20"/>
            </w:pPr>
            <w:r/>
            <w:r>
              <w:rPr>
                <w:rFonts w:ascii="Arial" w:hAnsi="Arial"/>
                <w:b w:val="0"/>
                <w:sz w:val="16"/>
              </w:rPr>
              <w:t>1 350 €</w:t>
            </w:r>
          </w:p>
        </w:tc>
        <w:tc>
          <w:tcPr>
            <w:tcW w:type="dxa" w:w="1247"/>
          </w:tcPr>
          <w:p>
            <w:pPr>
              <w:spacing w:after="20" w:before="20"/>
            </w:pPr>
            <w:r/>
            <w:r>
              <w:rPr>
                <w:rFonts w:ascii="Arial" w:hAnsi="Arial"/>
                <w:b w:val="0"/>
                <w:sz w:val="16"/>
              </w:rPr>
              <w:t>2 650 €</w:t>
            </w:r>
          </w:p>
        </w:tc>
        <w:tc>
          <w:tcPr>
            <w:tcW w:type="dxa" w:w="4195"/>
          </w:tcPr>
          <w:p>
            <w:pPr>
              <w:spacing w:after="20" w:before="20"/>
            </w:pPr>
            <w:r/>
            <w:r>
              <w:rPr>
                <w:rFonts w:ascii="Arial" w:hAnsi="Arial"/>
                <w:b w:val="0"/>
                <w:sz w:val="16"/>
              </w:rPr>
            </w:r>
          </w:p>
        </w:tc>
      </w:tr>
    </w:tbl>
    <w:p>
      <w:pPr>
        <w:spacing w:before="0" w:after="120"/>
      </w:pPr>
    </w:p>
    <w:p>
      <w:pPr>
        <w:spacing w:before="40" w:after="60"/>
      </w:pPr>
      <w:r>
        <w:rPr>
          <w:rFonts w:ascii="Arial" w:hAnsi="Arial"/>
          <w:b/>
          <w:i w:val="0"/>
          <w:color w:val="1F3864"/>
          <w:sz w:val="20"/>
        </w:rPr>
        <w:t>Étape 3 · Budget soumis à l'approbation</w:t>
      </w: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4876"/>
        <w:gridCol w:w="4876"/>
      </w:tblGrid>
      <w:tr>
        <w:trPr>
          <w:tblHeader w:val="true"/>
        </w:trPr>
        <w:tc>
          <w:tcPr>
            <w:tcW w:type="dxa" w:w="5669"/>
            <w:shd w:val="clear" w:fill="1F3864"/>
          </w:tcPr>
          <w:p>
            <w:pPr>
              <w:spacing w:after="20" w:before="20"/>
            </w:pPr>
            <w:r/>
            <w:r>
              <w:rPr>
                <w:rFonts w:ascii="Arial" w:hAnsi="Arial"/>
                <w:b/>
                <w:color w:val="FFFFFF"/>
                <w:sz w:val="18"/>
              </w:rPr>
              <w:t>Élément</w:t>
            </w:r>
          </w:p>
        </w:tc>
        <w:tc>
          <w:tcPr>
            <w:tcW w:type="dxa" w:w="2268"/>
            <w:shd w:val="clear" w:fill="1F3864"/>
          </w:tcPr>
          <w:p>
            <w:pPr>
              <w:spacing w:after="20" w:before="20"/>
            </w:pPr>
            <w:r/>
            <w:r>
              <w:rPr>
                <w:rFonts w:ascii="Arial" w:hAnsi="Arial"/>
                <w:b/>
                <w:color w:val="FFFFFF"/>
                <w:sz w:val="18"/>
              </w:rPr>
              <w:t>Montant</w:t>
            </w:r>
          </w:p>
        </w:tc>
      </w:tr>
      <w:tr>
        <w:tc>
          <w:tcPr>
            <w:tcW w:type="dxa" w:w="5669"/>
          </w:tcPr>
          <w:p>
            <w:pPr>
              <w:spacing w:after="20" w:before="20"/>
            </w:pPr>
            <w:r/>
            <w:r>
              <w:rPr>
                <w:rFonts w:ascii="Arial" w:hAnsi="Arial"/>
                <w:b w:val="0"/>
                <w:sz w:val="18"/>
              </w:rPr>
              <w:t>Temps interne budgété</w:t>
            </w:r>
          </w:p>
        </w:tc>
        <w:tc>
          <w:tcPr>
            <w:tcW w:type="dxa" w:w="2268"/>
          </w:tcPr>
          <w:p>
            <w:pPr>
              <w:spacing w:after="20" w:before="20"/>
            </w:pPr>
            <w:r/>
            <w:r>
              <w:rPr>
                <w:rFonts w:ascii="Arial" w:hAnsi="Arial"/>
                <w:b w:val="0"/>
                <w:sz w:val="18"/>
              </w:rPr>
              <w:t>23 800 €</w:t>
            </w:r>
          </w:p>
        </w:tc>
      </w:tr>
      <w:tr>
        <w:tc>
          <w:tcPr>
            <w:tcW w:type="dxa" w:w="5669"/>
          </w:tcPr>
          <w:p>
            <w:pPr>
              <w:spacing w:after="20" w:before="20"/>
            </w:pPr>
            <w:r/>
            <w:r>
              <w:rPr>
                <w:rFonts w:ascii="Arial" w:hAnsi="Arial"/>
                <w:b w:val="0"/>
                <w:sz w:val="18"/>
              </w:rPr>
              <w:t>Coûts directs budgétés</w:t>
            </w:r>
          </w:p>
        </w:tc>
        <w:tc>
          <w:tcPr>
            <w:tcW w:type="dxa" w:w="2268"/>
          </w:tcPr>
          <w:p>
            <w:pPr>
              <w:spacing w:after="20" w:before="20"/>
            </w:pPr>
            <w:r/>
            <w:r>
              <w:rPr>
                <w:rFonts w:ascii="Arial" w:hAnsi="Arial"/>
                <w:b w:val="0"/>
                <w:sz w:val="18"/>
              </w:rPr>
              <w:t>1 350 €</w:t>
            </w:r>
          </w:p>
        </w:tc>
      </w:tr>
      <w:tr>
        <w:tc>
          <w:tcPr>
            <w:tcW w:type="dxa" w:w="5669"/>
          </w:tcPr>
          <w:p>
            <w:pPr>
              <w:spacing w:after="20" w:before="20"/>
            </w:pPr>
            <w:r/>
            <w:r>
              <w:rPr>
                <w:rFonts w:ascii="Arial" w:hAnsi="Arial"/>
                <w:b w:val="0"/>
                <w:sz w:val="18"/>
              </w:rPr>
              <w:t>Sous-total</w:t>
            </w:r>
          </w:p>
        </w:tc>
        <w:tc>
          <w:tcPr>
            <w:tcW w:type="dxa" w:w="2268"/>
          </w:tcPr>
          <w:p>
            <w:pPr>
              <w:spacing w:after="20" w:before="20"/>
            </w:pPr>
            <w:r/>
            <w:r>
              <w:rPr>
                <w:rFonts w:ascii="Arial" w:hAnsi="Arial"/>
                <w:b w:val="0"/>
                <w:sz w:val="18"/>
              </w:rPr>
              <w:t>25 150 €</w:t>
            </w:r>
          </w:p>
        </w:tc>
      </w:tr>
      <w:tr>
        <w:tc>
          <w:tcPr>
            <w:tcW w:type="dxa" w:w="5669"/>
          </w:tcPr>
          <w:p>
            <w:pPr>
              <w:spacing w:after="20" w:before="20"/>
            </w:pPr>
            <w:r/>
            <w:r>
              <w:rPr>
                <w:rFonts w:ascii="Arial" w:hAnsi="Arial"/>
                <w:b w:val="0"/>
                <w:sz w:val="18"/>
              </w:rPr>
              <w:t>Réserve pour aléas, dix pour cent</w:t>
            </w:r>
          </w:p>
        </w:tc>
        <w:tc>
          <w:tcPr>
            <w:tcW w:type="dxa" w:w="2268"/>
          </w:tcPr>
          <w:p>
            <w:pPr>
              <w:spacing w:after="20" w:before="20"/>
            </w:pPr>
            <w:r/>
            <w:r>
              <w:rPr>
                <w:rFonts w:ascii="Arial" w:hAnsi="Arial"/>
                <w:b w:val="0"/>
                <w:sz w:val="18"/>
              </w:rPr>
              <w:t>2 515 €</w:t>
            </w:r>
          </w:p>
        </w:tc>
      </w:tr>
      <w:tr>
        <w:tc>
          <w:tcPr>
            <w:tcW w:type="dxa" w:w="5669"/>
          </w:tcPr>
          <w:p>
            <w:pPr>
              <w:spacing w:after="20" w:before="20"/>
            </w:pPr>
            <w:r/>
            <w:r>
              <w:rPr>
                <w:rFonts w:ascii="Arial" w:hAnsi="Arial"/>
                <w:b w:val="0"/>
                <w:sz w:val="18"/>
              </w:rPr>
              <w:t>Budget total approuvé</w:t>
            </w:r>
          </w:p>
        </w:tc>
        <w:tc>
          <w:tcPr>
            <w:tcW w:type="dxa" w:w="2268"/>
          </w:tcPr>
          <w:p>
            <w:pPr>
              <w:spacing w:after="20" w:before="20"/>
            </w:pPr>
            <w:r/>
            <w:r>
              <w:rPr>
                <w:rFonts w:ascii="Arial" w:hAnsi="Arial"/>
                <w:b w:val="0"/>
                <w:sz w:val="18"/>
              </w:rPr>
              <w:t>27 665 €</w:t>
            </w:r>
          </w:p>
        </w:tc>
      </w:tr>
    </w:tbl>
    <w:p>
      <w:pPr>
        <w:spacing w:before="0" w:after="120"/>
      </w:pPr>
    </w:p>
    <w:p>
      <w:pPr>
        <w:spacing w:before="80" w:after="80"/>
      </w:pPr>
      <w:r>
        <w:rPr>
          <w:rFonts w:ascii="Arial" w:hAnsi="Arial"/>
          <w:b/>
          <w:i w:val="0"/>
          <w:color w:val="212121"/>
          <w:sz w:val="20"/>
        </w:rPr>
        <w:t>Étape 4 · Suivi et contrôle</w:t>
      </w:r>
    </w:p>
    <w:p>
      <w:pPr>
        <w:jc w:val="center"/>
      </w:pPr>
      <w:r>
        <w:drawing>
          <wp:inline xmlns:a="http://schemas.openxmlformats.org/drawingml/2006/main" xmlns:pic="http://schemas.openxmlformats.org/drawingml/2006/picture">
            <wp:extent cx="5544000" cy="2295868"/>
            <wp:docPr id="1" name="Picture 1"/>
            <wp:cNvGraphicFramePr>
              <a:graphicFrameLocks noChangeAspect="1"/>
            </wp:cNvGraphicFramePr>
            <a:graphic>
              <a:graphicData uri="http://schemas.openxmlformats.org/drawingml/2006/picture">
                <pic:pic>
                  <pic:nvPicPr>
                    <pic:cNvPr id="0" name="ecart_budgetaire.png"/>
                    <pic:cNvPicPr/>
                  </pic:nvPicPr>
                  <pic:blipFill>
                    <a:blip r:embed="rId11"/>
                    <a:stretch>
                      <a:fillRect/>
                    </a:stretch>
                  </pic:blipFill>
                  <pic:spPr>
                    <a:xfrm>
                      <a:off x="0" y="0"/>
                      <a:ext cx="5544000" cy="2295868"/>
                    </a:xfrm>
                    <a:prstGeom prst="rect"/>
                  </pic:spPr>
                </pic:pic>
              </a:graphicData>
            </a:graphic>
          </wp:inline>
        </w:drawing>
      </w:r>
    </w:p>
    <w:p>
      <w:pPr>
        <w:spacing w:before="0" w:after="120"/>
      </w:pPr>
    </w:p>
    <w:p>
      <w:pPr>
        <w:spacing w:before="40" w:after="60"/>
      </w:pPr>
      <w:r>
        <w:rPr>
          <w:rFonts w:ascii="Arial" w:hAnsi="Arial"/>
          <w:b/>
          <w:i w:val="0"/>
          <w:color w:val="1F3864"/>
          <w:sz w:val="20"/>
        </w:rPr>
        <w:t>Indicateurs de fin de projet</w:t>
      </w: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3251"/>
        <w:gridCol w:w="3251"/>
        <w:gridCol w:w="3251"/>
      </w:tblGrid>
      <w:tr>
        <w:trPr>
          <w:tblHeader w:val="true"/>
        </w:trPr>
        <w:tc>
          <w:tcPr>
            <w:tcW w:type="dxa" w:w="3061"/>
            <w:shd w:val="clear" w:fill="1F3864"/>
          </w:tcPr>
          <w:p>
            <w:pPr>
              <w:spacing w:after="20" w:before="20"/>
            </w:pPr>
            <w:r/>
            <w:r>
              <w:rPr>
                <w:rFonts w:ascii="Arial" w:hAnsi="Arial"/>
                <w:b/>
                <w:color w:val="FFFFFF"/>
                <w:sz w:val="17"/>
              </w:rPr>
              <w:t>Indicateur</w:t>
            </w:r>
          </w:p>
        </w:tc>
        <w:tc>
          <w:tcPr>
            <w:tcW w:type="dxa" w:w="1701"/>
            <w:shd w:val="clear" w:fill="1F3864"/>
          </w:tcPr>
          <w:p>
            <w:pPr>
              <w:spacing w:after="20" w:before="20"/>
            </w:pPr>
            <w:r/>
            <w:r>
              <w:rPr>
                <w:rFonts w:ascii="Arial" w:hAnsi="Arial"/>
                <w:b/>
                <w:color w:val="FFFFFF"/>
                <w:sz w:val="17"/>
              </w:rPr>
              <w:t>Valeur</w:t>
            </w:r>
          </w:p>
        </w:tc>
        <w:tc>
          <w:tcPr>
            <w:tcW w:type="dxa" w:w="4989"/>
            <w:shd w:val="clear" w:fill="1F3864"/>
          </w:tcPr>
          <w:p>
            <w:pPr>
              <w:spacing w:after="20" w:before="20"/>
            </w:pPr>
            <w:r/>
            <w:r>
              <w:rPr>
                <w:rFonts w:ascii="Arial" w:hAnsi="Arial"/>
                <w:b/>
                <w:color w:val="FFFFFF"/>
                <w:sz w:val="17"/>
              </w:rPr>
              <w:t>Lecture</w:t>
            </w:r>
          </w:p>
        </w:tc>
      </w:tr>
      <w:tr>
        <w:tc>
          <w:tcPr>
            <w:tcW w:type="dxa" w:w="3061"/>
          </w:tcPr>
          <w:p>
            <w:pPr>
              <w:spacing w:after="20" w:before="20"/>
            </w:pPr>
            <w:r/>
            <w:r>
              <w:rPr>
                <w:rFonts w:ascii="Arial" w:hAnsi="Arial"/>
                <w:b w:val="0"/>
                <w:sz w:val="17"/>
              </w:rPr>
              <w:t>Budget approuvé</w:t>
            </w:r>
          </w:p>
        </w:tc>
        <w:tc>
          <w:tcPr>
            <w:tcW w:type="dxa" w:w="1701"/>
          </w:tcPr>
          <w:p>
            <w:pPr>
              <w:spacing w:after="20" w:before="20"/>
            </w:pPr>
            <w:r/>
            <w:r>
              <w:rPr>
                <w:rFonts w:ascii="Arial" w:hAnsi="Arial"/>
                <w:b w:val="0"/>
                <w:sz w:val="17"/>
              </w:rPr>
              <w:t>27 665 €</w:t>
            </w:r>
          </w:p>
        </w:tc>
        <w:tc>
          <w:tcPr>
            <w:tcW w:type="dxa" w:w="4989"/>
          </w:tcPr>
          <w:p>
            <w:pPr>
              <w:spacing w:after="20" w:before="20"/>
            </w:pPr>
            <w:r/>
            <w:r>
              <w:rPr>
                <w:rFonts w:ascii="Arial" w:hAnsi="Arial"/>
                <w:b w:val="0"/>
                <w:sz w:val="17"/>
              </w:rPr>
              <w:t>Référence</w:t>
            </w:r>
          </w:p>
        </w:tc>
      </w:tr>
      <w:tr>
        <w:tc>
          <w:tcPr>
            <w:tcW w:type="dxa" w:w="3061"/>
          </w:tcPr>
          <w:p>
            <w:pPr>
              <w:spacing w:after="20" w:before="20"/>
            </w:pPr>
            <w:r/>
            <w:r>
              <w:rPr>
                <w:rFonts w:ascii="Arial" w:hAnsi="Arial"/>
                <w:b w:val="0"/>
                <w:sz w:val="17"/>
              </w:rPr>
              <w:t>Coût réel</w:t>
            </w:r>
          </w:p>
        </w:tc>
        <w:tc>
          <w:tcPr>
            <w:tcW w:type="dxa" w:w="1701"/>
          </w:tcPr>
          <w:p>
            <w:pPr>
              <w:spacing w:after="20" w:before="20"/>
            </w:pPr>
            <w:r/>
            <w:r>
              <w:rPr>
                <w:rFonts w:ascii="Arial" w:hAnsi="Arial"/>
                <w:b w:val="0"/>
                <w:sz w:val="17"/>
              </w:rPr>
              <w:t>53 750 €</w:t>
            </w:r>
          </w:p>
        </w:tc>
        <w:tc>
          <w:tcPr>
            <w:tcW w:type="dxa" w:w="4989"/>
          </w:tcPr>
          <w:p>
            <w:pPr>
              <w:spacing w:after="20" w:before="20"/>
            </w:pPr>
            <w:r/>
            <w:r>
              <w:rPr>
                <w:rFonts w:ascii="Arial" w:hAnsi="Arial"/>
                <w:b w:val="0"/>
                <w:sz w:val="17"/>
              </w:rPr>
              <w:t>Dépassement de 26 085 €, soit 94 %</w:t>
            </w:r>
          </w:p>
        </w:tc>
      </w:tr>
      <w:tr>
        <w:tc>
          <w:tcPr>
            <w:tcW w:type="dxa" w:w="3061"/>
          </w:tcPr>
          <w:p>
            <w:pPr>
              <w:spacing w:after="20" w:before="20"/>
            </w:pPr>
            <w:r/>
            <w:r>
              <w:rPr>
                <w:rFonts w:ascii="Arial" w:hAnsi="Arial"/>
                <w:b w:val="0"/>
                <w:sz w:val="17"/>
              </w:rPr>
              <w:t>Coût décaissé par l'établissement</w:t>
            </w:r>
          </w:p>
        </w:tc>
        <w:tc>
          <w:tcPr>
            <w:tcW w:type="dxa" w:w="1701"/>
          </w:tcPr>
          <w:p>
            <w:pPr>
              <w:spacing w:after="20" w:before="20"/>
            </w:pPr>
            <w:r/>
            <w:r>
              <w:rPr>
                <w:rFonts w:ascii="Arial" w:hAnsi="Arial"/>
                <w:b w:val="0"/>
                <w:sz w:val="17"/>
              </w:rPr>
              <w:t>14 900 €</w:t>
            </w:r>
          </w:p>
        </w:tc>
        <w:tc>
          <w:tcPr>
            <w:tcW w:type="dxa" w:w="4989"/>
          </w:tcPr>
          <w:p>
            <w:pPr>
              <w:spacing w:after="20" w:before="20"/>
            </w:pPr>
            <w:r/>
            <w:r>
              <w:rPr>
                <w:rFonts w:ascii="Arial" w:hAnsi="Arial"/>
                <w:b w:val="0"/>
                <w:sz w:val="17"/>
              </w:rPr>
              <w:t>Le temps contractuel et les coûts directs ; conforme à l'enveloppe</w:t>
            </w:r>
          </w:p>
        </w:tc>
      </w:tr>
      <w:tr>
        <w:tc>
          <w:tcPr>
            <w:tcW w:type="dxa" w:w="3061"/>
          </w:tcPr>
          <w:p>
            <w:pPr>
              <w:spacing w:after="20" w:before="20"/>
            </w:pPr>
            <w:r/>
            <w:r>
              <w:rPr>
                <w:rFonts w:ascii="Arial" w:hAnsi="Arial"/>
                <w:b w:val="0"/>
                <w:sz w:val="17"/>
              </w:rPr>
              <w:t>Coût non facturé</w:t>
            </w:r>
          </w:p>
        </w:tc>
        <w:tc>
          <w:tcPr>
            <w:tcW w:type="dxa" w:w="1701"/>
          </w:tcPr>
          <w:p>
            <w:pPr>
              <w:spacing w:after="20" w:before="20"/>
            </w:pPr>
            <w:r/>
            <w:r>
              <w:rPr>
                <w:rFonts w:ascii="Arial" w:hAnsi="Arial"/>
                <w:b w:val="0"/>
                <w:sz w:val="17"/>
              </w:rPr>
              <w:t>19 600 €</w:t>
            </w:r>
          </w:p>
        </w:tc>
        <w:tc>
          <w:tcPr>
            <w:tcW w:type="dxa" w:w="4989"/>
          </w:tcPr>
          <w:p>
            <w:pPr>
              <w:spacing w:after="20" w:before="20"/>
            </w:pPr>
            <w:r/>
            <w:r>
              <w:rPr>
                <w:rFonts w:ascii="Arial" w:hAnsi="Arial"/>
                <w:b w:val="0"/>
                <w:sz w:val="17"/>
              </w:rPr>
              <w:t>Cinquante-six jours hors temps contractuel, absorbés par le chef de projet</w:t>
            </w:r>
          </w:p>
        </w:tc>
      </w:tr>
      <w:tr>
        <w:tc>
          <w:tcPr>
            <w:tcW w:type="dxa" w:w="3061"/>
          </w:tcPr>
          <w:p>
            <w:pPr>
              <w:spacing w:after="20" w:before="20"/>
            </w:pPr>
            <w:r/>
            <w:r>
              <w:rPr>
                <w:rFonts w:ascii="Arial" w:hAnsi="Arial"/>
                <w:b w:val="0"/>
                <w:sz w:val="17"/>
              </w:rPr>
              <w:t>Avancement des livrables</w:t>
            </w:r>
          </w:p>
        </w:tc>
        <w:tc>
          <w:tcPr>
            <w:tcW w:type="dxa" w:w="1701"/>
          </w:tcPr>
          <w:p>
            <w:pPr>
              <w:spacing w:after="20" w:before="20"/>
            </w:pPr>
            <w:r/>
            <w:r>
              <w:rPr>
                <w:rFonts w:ascii="Arial" w:hAnsi="Arial"/>
                <w:b w:val="0"/>
                <w:sz w:val="17"/>
              </w:rPr>
              <w:t>100 %</w:t>
            </w:r>
          </w:p>
        </w:tc>
        <w:tc>
          <w:tcPr>
            <w:tcW w:type="dxa" w:w="4989"/>
          </w:tcPr>
          <w:p>
            <w:pPr>
              <w:spacing w:after="20" w:before="20"/>
            </w:pPr>
            <w:r/>
            <w:r>
              <w:rPr>
                <w:rFonts w:ascii="Arial" w:hAnsi="Arial"/>
                <w:b w:val="0"/>
                <w:sz w:val="17"/>
              </w:rPr>
              <w:t>Tous les livrables du périmètre sont réceptionnés</w:t>
            </w:r>
          </w:p>
        </w:tc>
      </w:tr>
      <w:tr>
        <w:tc>
          <w:tcPr>
            <w:tcW w:type="dxa" w:w="3061"/>
          </w:tcPr>
          <w:p>
            <w:pPr>
              <w:spacing w:after="20" w:before="20"/>
            </w:pPr>
            <w:r/>
            <w:r>
              <w:rPr>
                <w:rFonts w:ascii="Arial" w:hAnsi="Arial"/>
                <w:b w:val="0"/>
                <w:sz w:val="17"/>
              </w:rPr>
              <w:t>Indice de performance des délais</w:t>
            </w:r>
          </w:p>
        </w:tc>
        <w:tc>
          <w:tcPr>
            <w:tcW w:type="dxa" w:w="1701"/>
          </w:tcPr>
          <w:p>
            <w:pPr>
              <w:spacing w:after="20" w:before="20"/>
            </w:pPr>
            <w:r/>
            <w:r>
              <w:rPr>
                <w:rFonts w:ascii="Arial" w:hAnsi="Arial"/>
                <w:b w:val="0"/>
                <w:sz w:val="17"/>
              </w:rPr>
              <w:t>0,86</w:t>
            </w:r>
          </w:p>
        </w:tc>
        <w:tc>
          <w:tcPr>
            <w:tcW w:type="dxa" w:w="4989"/>
          </w:tcPr>
          <w:p>
            <w:pPr>
              <w:spacing w:after="20" w:before="20"/>
            </w:pPr>
            <w:r/>
            <w:r>
              <w:rPr>
                <w:rFonts w:ascii="Arial" w:hAnsi="Arial"/>
                <w:b w:val="0"/>
                <w:sz w:val="17"/>
              </w:rPr>
              <w:t>Un mois et demi de retard sur une durée prévue de neuf mois</w:t>
            </w:r>
          </w:p>
        </w:tc>
      </w:tr>
    </w:tbl>
    <w:p>
      <w:pPr>
        <w:spacing w:before="0" w:after="120"/>
      </w:pP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9752"/>
      </w:tblGrid>
      <w:tr>
        <w:tc>
          <w:tcPr>
            <w:tcW w:type="dxa" w:w="9752"/>
            <w:shd w:val="clear" w:fill="EAEFF7"/>
          </w:tcPr>
          <w:p>
            <w:pPr>
              <w:spacing w:after="20" w:before="20"/>
            </w:pPr>
            <w:r/>
            <w:r>
              <w:rPr>
                <w:rFonts w:ascii="Arial" w:hAnsi="Arial"/>
                <w:b/>
                <w:color w:val="1F3864"/>
                <w:sz w:val="20"/>
              </w:rPr>
              <w:t>Analyse des écarts</w:t>
            </w:r>
          </w:p>
        </w:tc>
      </w:tr>
      <w:tr>
        <w:tc>
          <w:tcPr>
            <w:tcW w:type="dxa" w:w="9752"/>
          </w:tcPr>
          <w:p>
            <w:pPr>
              <w:spacing w:after="60" w:before="20"/>
            </w:pPr>
            <w:r/>
            <w:r>
              <w:rPr>
                <w:rFonts w:ascii="Arial" w:hAnsi="Arial"/>
                <w:b w:val="0"/>
                <w:sz w:val="18"/>
              </w:rPr>
              <w:t>Le budget est tenu si l'on ne regarde que ce que l'établissement décaisse, et il ne l'est pas si l'on regarde la charge réellement consommée. Cette double lecture est le fait de gestion le plus important du projet.</w:t>
            </w:r>
          </w:p>
          <w:p>
            <w:pPr>
              <w:spacing w:after="60"/>
            </w:pPr>
            <w:r>
              <w:rPr>
                <w:rFonts w:ascii="Arial" w:hAnsi="Arial"/>
                <w:b w:val="0"/>
                <w:sz w:val="18"/>
              </w:rPr>
              <w:t>Trois causes expliquent l'écart. Le périmètre documentaire, d'abord : le recensement complet a porté le nombre de fiches bien au-delà de l'estimation initiale, sans que la charge budgétée soit revue. Le chantier applicatif, ensuite, décidé en avril et absent du budget de décembre. L'implication de la responsable pédagogique, enfin, presque doublée par rapport au prévu.</w:t>
            </w:r>
          </w:p>
          <w:p>
            <w:pPr>
              <w:spacing w:after="60"/>
            </w:pPr>
            <w:r>
              <w:rPr>
                <w:rFonts w:ascii="Arial" w:hAnsi="Arial"/>
                <w:b w:val="0"/>
                <w:sz w:val="18"/>
              </w:rPr>
              <w:t>La réponse apportée n'a pas été une renégociation mais une absorption : cinquante-six jours travaillés hors du temps contractuel, soirées et fins de semaine, non facturés. Le projet a réussi et le budget affiché est respecté, mais le modèle n'est pas soutenable et ne peut pas servir de référence pour un projet suivant. C'est précisément la situation contre laquelle l'encadrante de l'unité d'enseignement avait mis en garde.</w:t>
            </w:r>
          </w:p>
        </w:tc>
      </w:tr>
    </w:tbl>
    <w:p>
      <w:pPr>
        <w:spacing w:before="0" w:after="120"/>
      </w:pP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9752"/>
      </w:tblGrid>
      <w:tr>
        <w:tc>
          <w:tcPr>
            <w:tcW w:type="dxa" w:w="9752"/>
            <w:shd w:val="clear" w:fill="EAEFF7"/>
          </w:tcPr>
          <w:p>
            <w:pPr>
              <w:spacing w:after="20" w:before="20"/>
            </w:pPr>
            <w:r/>
            <w:r>
              <w:rPr>
                <w:rFonts w:ascii="Arial" w:hAnsi="Arial"/>
                <w:b/>
                <w:color w:val="1F3864"/>
                <w:sz w:val="20"/>
              </w:rPr>
              <w:t>Coût de possession, hors budget de projet</w:t>
            </w:r>
          </w:p>
        </w:tc>
      </w:tr>
      <w:tr>
        <w:tc>
          <w:tcPr>
            <w:tcW w:type="dxa" w:w="9752"/>
          </w:tcPr>
          <w:p>
            <w:pPr>
              <w:spacing w:after="60" w:before="20"/>
            </w:pPr>
            <w:r/>
            <w:r>
              <w:rPr>
                <w:rFonts w:ascii="Arial" w:hAnsi="Arial"/>
                <w:b w:val="0"/>
                <w:sz w:val="18"/>
              </w:rPr>
              <w:t>Trois charges récurrentes commencent à la clôture et n'entrent pas dans ce budget : l'hébergement de l'application, cent cinquante euros par an ; ses évolutions et sa maintenance ; et la mise à jour annuelle des fiches modules. Elles relèvent du fonctionnement et doivent être portées par un budget d'exploitation, ce que le bilan de projet signale à la direction.</w:t>
            </w:r>
          </w:p>
        </w:tc>
      </w:tr>
    </w:tbl>
    <w:p>
      <w:pPr>
        <w:spacing w:before="0" w:after="120"/>
      </w:pPr>
    </w:p>
    <w:sectPr w:rsidR="00FC693F" w:rsidRPr="0006063C" w:rsidSect="00034616">
      <w:headerReference w:type="default" r:id="rId9"/>
      <w:footerReference w:type="default" r:id="rId10"/>
      <w:pgSz w:w="11906" w:h="16838"/>
      <w:pgMar w:top="1361" w:right="1077" w:bottom="964" w:left="1077" w:header="510" w:footer="51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606060"/>
        <w:sz w:val="16"/>
      </w:rPr>
      <w:t xml:space="preserve">IMIE Paris   ·   </w:t>
    </w:r>
    <w:fldSimple w:instr="PAGE">
      <w:r>
        <w:rPr>
          <w:sz w:val="16"/>
        </w:rPr>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tbl>
    <w:tblPr>
      <w:tblW w:type="auto" w:w="0"/>
      <w:tblLook w:firstColumn="1" w:firstRow="1" w:lastColumn="0" w:lastRow="0" w:noHBand="0" w:noVBand="1" w:val="04A0"/>
      <w:tblBorders>
        <w:top w:val="none"/>
        <w:left w:val="none"/>
        <w:bottom w:val="none"/>
        <w:right w:val="none"/>
        <w:insideH w:val="none"/>
        <w:insideV w:val="none"/>
      </w:tblBorders>
    </w:tblPr>
    <w:tblGrid>
      <w:gridCol w:w="3402"/>
      <w:gridCol w:w="6350"/>
    </w:tblGrid>
    <w:tr>
      <w:tc>
        <w:tcPr>
          <w:tcW w:type="dxa" w:w="4876"/>
        </w:tcPr>
        <w:p>
          <w:pPr>
            <w:spacing w:after="0"/>
          </w:pPr>
          <w:r>
            <w:drawing>
              <wp:inline xmlns:a="http://schemas.openxmlformats.org/drawingml/2006/main" xmlns:pic="http://schemas.openxmlformats.org/drawingml/2006/picture">
                <wp:extent cx="342000" cy="342000"/>
                <wp:docPr id="1" name="Picture 1"/>
                <wp:cNvGraphicFramePr>
                  <a:graphicFrameLocks noChangeAspect="1"/>
                </wp:cNvGraphicFramePr>
                <a:graphic>
                  <a:graphicData uri="http://schemas.openxmlformats.org/drawingml/2006/picture">
                    <pic:pic>
                      <pic:nvPicPr>
                        <pic:cNvPr id="0" name="logo_imie_entete.png"/>
                        <pic:cNvPicPr/>
                      </pic:nvPicPr>
                      <pic:blipFill>
                        <a:blip r:embed="rId1"/>
                        <a:stretch>
                          <a:fillRect/>
                        </a:stretch>
                      </pic:blipFill>
                      <pic:spPr>
                        <a:xfrm>
                          <a:off x="0" y="0"/>
                          <a:ext cx="342000" cy="342000"/>
                        </a:xfrm>
                        <a:prstGeom prst="rect"/>
                      </pic:spPr>
                    </pic:pic>
                  </a:graphicData>
                </a:graphic>
              </wp:inline>
            </w:drawing>
          </w:r>
        </w:p>
      </w:tc>
      <w:tc>
        <w:tcPr>
          <w:tcW w:type="dxa" w:w="4876"/>
        </w:tcPr>
        <w:p>
          <w:pPr>
            <w:spacing w:after="0" w:before="20"/>
            <w:jc w:val="right"/>
          </w:pPr>
          <w:r/>
          <w:r>
            <w:rPr>
              <w:rFonts w:ascii="Arial" w:hAnsi="Arial"/>
              <w:b/>
              <w:color w:val="1F3864"/>
              <w:sz w:val="18"/>
            </w:rPr>
            <w:t>Budget prévisionnel et suivi · Structuration des parcours B1/B2 · B1B2-2026</w:t>
          </w:r>
        </w:p>
      </w:tc>
    </w:tr>
  </w:tbl>
  <w:p>
    <w:pPr>
      <w:spacing w:before="40" w:after="0"/>
      <w:pBdr>
        <w:bottom w:val="single" w:sz="6" w:color="1F3864"/>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