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ook w:firstColumn="1" w:firstRow="1" w:lastColumn="0" w:lastRow="0" w:noHBand="0" w:noVBand="1" w:val="04A0"/>
        <w:tblBorders>
          <w:top w:val="none"/>
          <w:left w:val="none"/>
          <w:bottom w:val="none"/>
          <w:right w:val="none"/>
          <w:insideH w:val="none"/>
          <w:insideV w:val="none"/>
        </w:tblBorders>
      </w:tblPr>
      <w:tblGrid>
        <w:gridCol w:w="9752"/>
      </w:tblGrid>
      <w:tr>
        <w:tc>
          <w:tcPr>
            <w:tcW w:type="dxa" w:w="9752"/>
            <w:shd w:val="clear" w:fill="1F3864"/>
          </w:tcPr>
          <w:p>
            <w:pPr>
              <w:spacing w:after="0" w:before="20"/>
              <w:jc w:val="center"/>
            </w:pPr>
            <w:r/>
            <w:r>
              <w:rPr>
                <w:rFonts w:ascii="Arial" w:hAnsi="Arial"/>
                <w:b/>
                <w:color w:val="FFFFFF"/>
                <w:sz w:val="32"/>
              </w:rPr>
              <w:t>Compte rendu de comité pédagogique</w:t>
            </w:r>
          </w:p>
          <w:p>
            <w:pPr>
              <w:spacing w:after="40"/>
              <w:jc w:val="center"/>
            </w:pPr>
            <w:r>
              <w:rPr>
                <w:rFonts w:ascii="Arial" w:hAnsi="Arial"/>
                <w:color w:val="D5DDEC"/>
                <w:sz w:val="20"/>
              </w:rPr>
              <w:t>Séance du 6 avril 2026 · Structuration des parcours B1/B2</w:t>
            </w:r>
          </w:p>
        </w:tc>
      </w:tr>
    </w:tbl>
    <w:p>
      <w:pPr>
        <w:spacing w:before="0" w:after="120"/>
      </w:pPr>
    </w:p>
    <w:tbl>
      <w:tblPr>
        <w:tblW w:type="auto" w:w="0"/>
        <w:tblLook w:firstColumn="1" w:firstRow="1" w:lastColumn="0" w:lastRow="0" w:noHBand="0" w:noVBand="1" w:val="04A0"/>
        <w:tblBorders>
          <w:top w:val="single" w:sz="4" w:color="9AA7BD"/>
          <w:left w:val="single" w:sz="4" w:color="9AA7BD"/>
          <w:bottom w:val="single" w:sz="4" w:color="9AA7BD"/>
          <w:right w:val="single" w:sz="4" w:color="9AA7BD"/>
          <w:insideH w:val="single" w:sz="4" w:color="9AA7BD"/>
          <w:insideV w:val="single" w:sz="4" w:color="9AA7BD"/>
        </w:tblBorders>
      </w:tblPr>
      <w:tblGrid>
        <w:gridCol w:w="2608"/>
        <w:gridCol w:w="7143"/>
      </w:tblGrid>
      <w:tr>
        <w:tc>
          <w:tcPr>
            <w:tcW w:type="dxa" w:w="2608"/>
            <w:shd w:val="clear" w:fill="EAEFF7"/>
          </w:tcPr>
          <w:p>
            <w:pPr>
              <w:spacing w:after="40" w:before="20"/>
            </w:pPr>
            <w:r/>
            <w:r>
              <w:rPr>
                <w:rFonts w:ascii="Arial" w:hAnsi="Arial"/>
                <w:b/>
                <w:color w:val="1F3864"/>
                <w:sz w:val="18"/>
              </w:rPr>
              <w:t>Nom / Code projet</w:t>
            </w:r>
          </w:p>
        </w:tc>
        <w:tc>
          <w:tcPr>
            <w:tcW w:type="dxa" w:w="7143"/>
          </w:tcPr>
          <w:p>
            <w:pPr>
              <w:spacing w:after="40" w:before="20"/>
            </w:pPr>
            <w:r/>
            <w:r>
              <w:rPr>
                <w:rFonts w:ascii="Arial" w:hAnsi="Arial"/>
                <w:b w:val="0"/>
                <w:sz w:val="18"/>
              </w:rPr>
              <w:t>Structuration des parcours B1/B2  ·  B1B2-2026</w:t>
            </w:r>
          </w:p>
        </w:tc>
      </w:tr>
      <w:tr>
        <w:tc>
          <w:tcPr>
            <w:tcW w:type="dxa" w:w="2608"/>
            <w:shd w:val="clear" w:fill="EAEFF7"/>
          </w:tcPr>
          <w:p>
            <w:pPr>
              <w:spacing w:after="40" w:before="20"/>
            </w:pPr>
            <w:r/>
            <w:r>
              <w:rPr>
                <w:rFonts w:ascii="Arial" w:hAnsi="Arial"/>
                <w:b/>
                <w:color w:val="1F3864"/>
                <w:sz w:val="18"/>
              </w:rPr>
              <w:t>Instance</w:t>
            </w:r>
          </w:p>
        </w:tc>
        <w:tc>
          <w:tcPr>
            <w:tcW w:type="dxa" w:w="7143"/>
          </w:tcPr>
          <w:p>
            <w:pPr>
              <w:spacing w:after="40" w:before="20"/>
            </w:pPr>
            <w:r/>
            <w:r>
              <w:rPr>
                <w:rFonts w:ascii="Arial" w:hAnsi="Arial"/>
                <w:b w:val="0"/>
                <w:sz w:val="18"/>
              </w:rPr>
              <w:t>Comité pédagogique mensuel</w:t>
            </w:r>
          </w:p>
        </w:tc>
      </w:tr>
      <w:tr>
        <w:tc>
          <w:tcPr>
            <w:tcW w:type="dxa" w:w="2608"/>
            <w:shd w:val="clear" w:fill="EAEFF7"/>
          </w:tcPr>
          <w:p>
            <w:pPr>
              <w:spacing w:after="40" w:before="20"/>
            </w:pPr>
            <w:r/>
            <w:r>
              <w:rPr>
                <w:rFonts w:ascii="Arial" w:hAnsi="Arial"/>
                <w:b/>
                <w:color w:val="1F3864"/>
                <w:sz w:val="18"/>
              </w:rPr>
              <w:t>Date et durée</w:t>
            </w:r>
          </w:p>
        </w:tc>
        <w:tc>
          <w:tcPr>
            <w:tcW w:type="dxa" w:w="7143"/>
          </w:tcPr>
          <w:p>
            <w:pPr>
              <w:spacing w:after="40" w:before="20"/>
            </w:pPr>
            <w:r/>
            <w:r>
              <w:rPr>
                <w:rFonts w:ascii="Arial" w:hAnsi="Arial"/>
                <w:b w:val="0"/>
                <w:sz w:val="18"/>
              </w:rPr>
              <w:t>6 avril 2026, une heure trente</w:t>
            </w:r>
          </w:p>
        </w:tc>
      </w:tr>
      <w:tr>
        <w:tc>
          <w:tcPr>
            <w:tcW w:type="dxa" w:w="2608"/>
            <w:shd w:val="clear" w:fill="EAEFF7"/>
          </w:tcPr>
          <w:p>
            <w:pPr>
              <w:spacing w:after="40" w:before="20"/>
            </w:pPr>
            <w:r/>
            <w:r>
              <w:rPr>
                <w:rFonts w:ascii="Arial" w:hAnsi="Arial"/>
                <w:b/>
                <w:color w:val="1F3864"/>
                <w:sz w:val="18"/>
              </w:rPr>
              <w:t>Animation</w:t>
            </w:r>
          </w:p>
        </w:tc>
        <w:tc>
          <w:tcPr>
            <w:tcW w:type="dxa" w:w="7143"/>
          </w:tcPr>
          <w:p>
            <w:pPr>
              <w:spacing w:after="40" w:before="20"/>
            </w:pPr>
            <w:r/>
            <w:r>
              <w:rPr>
                <w:rFonts w:ascii="Arial" w:hAnsi="Arial"/>
                <w:b w:val="0"/>
                <w:sz w:val="18"/>
              </w:rPr>
              <w:t>Responsable pédagogique et chef de projet</w:t>
            </w:r>
          </w:p>
        </w:tc>
      </w:tr>
      <w:tr>
        <w:tc>
          <w:tcPr>
            <w:tcW w:type="dxa" w:w="2608"/>
            <w:shd w:val="clear" w:fill="EAEFF7"/>
          </w:tcPr>
          <w:p>
            <w:pPr>
              <w:spacing w:after="40" w:before="20"/>
            </w:pPr>
            <w:r/>
            <w:r>
              <w:rPr>
                <w:rFonts w:ascii="Arial" w:hAnsi="Arial"/>
                <w:b/>
                <w:color w:val="1F3864"/>
                <w:sz w:val="18"/>
              </w:rPr>
              <w:t>Participants</w:t>
            </w:r>
          </w:p>
        </w:tc>
        <w:tc>
          <w:tcPr>
            <w:tcW w:type="dxa" w:w="7143"/>
          </w:tcPr>
          <w:p>
            <w:pPr>
              <w:spacing w:after="40" w:before="20"/>
            </w:pPr>
            <w:r/>
            <w:r>
              <w:rPr>
                <w:rFonts w:ascii="Arial" w:hAnsi="Arial"/>
                <w:b w:val="0"/>
                <w:sz w:val="18"/>
              </w:rPr>
              <w:t>Responsable pédagogique, chef de projet, assistant pédagogique, sept formateurs des deux filières</w:t>
            </w:r>
          </w:p>
        </w:tc>
      </w:tr>
      <w:tr>
        <w:tc>
          <w:tcPr>
            <w:tcW w:type="dxa" w:w="2608"/>
            <w:shd w:val="clear" w:fill="EAEFF7"/>
          </w:tcPr>
          <w:p>
            <w:pPr>
              <w:spacing w:after="40" w:before="20"/>
            </w:pPr>
            <w:r/>
            <w:r>
              <w:rPr>
                <w:rFonts w:ascii="Arial" w:hAnsi="Arial"/>
                <w:b/>
                <w:color w:val="1F3864"/>
                <w:sz w:val="18"/>
              </w:rPr>
              <w:t>Rédacteur</w:t>
            </w:r>
          </w:p>
        </w:tc>
        <w:tc>
          <w:tcPr>
            <w:tcW w:type="dxa" w:w="7143"/>
          </w:tcPr>
          <w:p>
            <w:pPr>
              <w:spacing w:after="40" w:before="20"/>
            </w:pPr>
            <w:r/>
            <w:r>
              <w:rPr>
                <w:rFonts w:ascii="Arial" w:hAnsi="Arial"/>
                <w:b w:val="0"/>
                <w:sz w:val="18"/>
              </w:rPr>
              <w:t>Chef de projet</w:t>
            </w:r>
          </w:p>
        </w:tc>
      </w:tr>
    </w:tbl>
    <w:p>
      <w:pPr>
        <w:spacing w:before="0" w:after="80"/>
      </w:pPr>
    </w:p>
    <w:tbl>
      <w:tblPr>
        <w:tblW w:type="auto" w:w="0"/>
        <w:tblLook w:firstColumn="1" w:firstRow="1" w:lastColumn="0" w:lastRow="0" w:noHBand="0" w:noVBand="1" w:val="04A0"/>
        <w:tblBorders>
          <w:top w:val="single" w:sz="4" w:color="9AA7BD"/>
          <w:left w:val="single" w:sz="4" w:color="9AA7BD"/>
          <w:bottom w:val="single" w:sz="4" w:color="9AA7BD"/>
          <w:right w:val="single" w:sz="4" w:color="9AA7BD"/>
          <w:insideH w:val="single" w:sz="4" w:color="9AA7BD"/>
          <w:insideV w:val="single" w:sz="4" w:color="9AA7BD"/>
        </w:tblBorders>
      </w:tblPr>
      <w:tblGrid>
        <w:gridCol w:w="9752"/>
      </w:tblGrid>
      <w:tr>
        <w:tc>
          <w:tcPr>
            <w:tcW w:type="dxa" w:w="9752"/>
            <w:shd w:val="clear" w:fill="EAEFF7"/>
          </w:tcPr>
          <w:p>
            <w:pPr>
              <w:spacing w:after="20" w:before="20"/>
            </w:pPr>
            <w:r/>
            <w:r>
              <w:rPr>
                <w:rFonts w:ascii="Arial" w:hAnsi="Arial"/>
                <w:b/>
                <w:color w:val="1F3864"/>
                <w:sz w:val="20"/>
              </w:rPr>
              <w:t>Objectif de la réunion</w:t>
            </w:r>
          </w:p>
        </w:tc>
      </w:tr>
      <w:tr>
        <w:tc>
          <w:tcPr>
            <w:tcW w:type="dxa" w:w="9752"/>
          </w:tcPr>
          <w:p>
            <w:pPr>
              <w:spacing w:after="60" w:before="20"/>
            </w:pPr>
            <w:r/>
            <w:r>
              <w:rPr>
                <w:rFonts w:ascii="Arial" w:hAnsi="Arial"/>
                <w:b w:val="0"/>
                <w:sz w:val="19"/>
              </w:rPr>
              <w:t>Présenter l'avancement de la conception, lancer la collecte des disponibilités et des compétences auprès de l'ensemble des formateurs, et recueillir leurs réserves avant que la production des fiches ne commence.</w:t>
            </w:r>
          </w:p>
        </w:tc>
      </w:tr>
    </w:tbl>
    <w:p>
      <w:pPr>
        <w:spacing w:before="0" w:after="120"/>
      </w:pPr>
    </w:p>
    <w:tbl>
      <w:tblPr>
        <w:tblW w:type="auto" w:w="0"/>
        <w:tblLook w:firstColumn="1" w:firstRow="1" w:lastColumn="0" w:lastRow="0" w:noHBand="0" w:noVBand="1" w:val="04A0"/>
        <w:tblBorders>
          <w:top w:val="single" w:sz="4" w:color="9AA7BD"/>
          <w:left w:val="single" w:sz="4" w:color="9AA7BD"/>
          <w:bottom w:val="single" w:sz="4" w:color="9AA7BD"/>
          <w:right w:val="single" w:sz="4" w:color="9AA7BD"/>
          <w:insideH w:val="single" w:sz="4" w:color="9AA7BD"/>
          <w:insideV w:val="single" w:sz="4" w:color="9AA7BD"/>
        </w:tblBorders>
      </w:tblPr>
      <w:tblGrid>
        <w:gridCol w:w="9752"/>
      </w:tblGrid>
      <w:tr>
        <w:tc>
          <w:tcPr>
            <w:tcW w:type="dxa" w:w="9752"/>
            <w:shd w:val="clear" w:fill="EAEFF7"/>
          </w:tcPr>
          <w:p>
            <w:pPr>
              <w:spacing w:after="20" w:before="20"/>
            </w:pPr>
            <w:r/>
            <w:r>
              <w:rPr>
                <w:rFonts w:ascii="Arial" w:hAnsi="Arial"/>
                <w:b/>
                <w:color w:val="1F3864"/>
                <w:sz w:val="20"/>
              </w:rPr>
              <w:t>Ordre du jour</w:t>
            </w:r>
          </w:p>
        </w:tc>
      </w:tr>
      <w:tr>
        <w:tc>
          <w:tcPr>
            <w:tcW w:type="dxa" w:w="9752"/>
          </w:tcPr>
          <w:p>
            <w:pPr>
              <w:spacing w:after="60" w:before="20"/>
            </w:pPr>
            <w:r/>
            <w:r>
              <w:rPr>
                <w:rFonts w:ascii="Arial" w:hAnsi="Arial"/>
                <w:b w:val="0"/>
                <w:sz w:val="19"/>
              </w:rPr>
              <w:t>Avancement du référentiel de première année. Présentation du dispositif de collecte et du fichier commun. Échanges sur la place des contenus existants dans les futures fiches. Points d'attention remontés par les formateurs.</w:t>
            </w:r>
          </w:p>
        </w:tc>
      </w:tr>
    </w:tbl>
    <w:p>
      <w:pPr>
        <w:spacing w:before="0" w:after="120"/>
      </w:pPr>
    </w:p>
    <w:tbl>
      <w:tblPr>
        <w:tblW w:type="auto" w:w="0"/>
        <w:tblLook w:firstColumn="1" w:firstRow="1" w:lastColumn="0" w:lastRow="0" w:noHBand="0" w:noVBand="1" w:val="04A0"/>
        <w:tblBorders>
          <w:top w:val="single" w:sz="4" w:color="9AA7BD"/>
          <w:left w:val="single" w:sz="4" w:color="9AA7BD"/>
          <w:bottom w:val="single" w:sz="4" w:color="9AA7BD"/>
          <w:right w:val="single" w:sz="4" w:color="9AA7BD"/>
          <w:insideH w:val="single" w:sz="4" w:color="9AA7BD"/>
          <w:insideV w:val="single" w:sz="4" w:color="9AA7BD"/>
        </w:tblBorders>
      </w:tblPr>
      <w:tblGrid>
        <w:gridCol w:w="9752"/>
      </w:tblGrid>
      <w:tr>
        <w:tc>
          <w:tcPr>
            <w:tcW w:type="dxa" w:w="9752"/>
            <w:shd w:val="clear" w:fill="EAEFF7"/>
          </w:tcPr>
          <w:p>
            <w:pPr>
              <w:spacing w:after="20" w:before="20"/>
            </w:pPr>
            <w:r/>
            <w:r>
              <w:rPr>
                <w:rFonts w:ascii="Arial" w:hAnsi="Arial"/>
                <w:b/>
                <w:color w:val="1F3864"/>
                <w:sz w:val="20"/>
              </w:rPr>
              <w:t>Échanges</w:t>
            </w:r>
          </w:p>
        </w:tc>
      </w:tr>
      <w:tr>
        <w:tc>
          <w:tcPr>
            <w:tcW w:type="dxa" w:w="9752"/>
          </w:tcPr>
          <w:p>
            <w:pPr>
              <w:spacing w:after="60" w:before="20"/>
            </w:pPr>
            <w:r/>
            <w:r>
              <w:rPr>
                <w:rFonts w:ascii="Arial" w:hAnsi="Arial"/>
                <w:b w:val="0"/>
                <w:sz w:val="19"/>
              </w:rPr>
              <w:t>L'avancement du référentiel de première année est présenté : les blocs et les compétences sont arrêtés, l'ordonnancement est en cours. La démarche de rétro-conception depuis les compétences de fin de cycle est expliquée, et c'est elle qui appelle le plus de questions : plusieurs formateurs demandent si leur module va changer de contenu.</w:t>
            </w:r>
          </w:p>
          <w:p>
            <w:pPr>
              <w:spacing w:after="60"/>
            </w:pPr>
            <w:r>
              <w:rPr>
                <w:rFonts w:ascii="Arial" w:hAnsi="Arial"/>
                <w:b w:val="0"/>
                <w:sz w:val="19"/>
              </w:rPr>
              <w:t>La réponse donnée en séance est que les fiches partent de ce qui est déjà enseigné, tel que les cahiers de texte le documentent, et que chacun sera consulté sur ses propres modules avant que la fiche ne soit écrite. Cette réponse apaise une partie des réserves, sans les lever toutes : deux formateurs expriment leur crainte qu'une fiche détaillée réduise leur marge d'adaptation en séance. Il leur est répondu que la fiche fixe les objectifs et les acquis attendus, pas la manière de les atteindre.</w:t>
            </w:r>
          </w:p>
          <w:p>
            <w:pPr>
              <w:spacing w:after="60"/>
            </w:pPr>
            <w:r>
              <w:rPr>
                <w:rFonts w:ascii="Arial" w:hAnsi="Arial"/>
                <w:b w:val="0"/>
                <w:sz w:val="19"/>
              </w:rPr>
              <w:t>Le dispositif de collecte est présenté. Un fichier commun est adressé à tous : disponibilités par semaine, et pour chaque module un niveau de maîtrise et un niveau d'intérêt sur une échelle de zéro à quatre. La question de l'usage des réponses est posée ; il est précisé qu'elles servent à construire le planning et à repérer les modules sans intervenant qualifié.</w:t>
            </w:r>
          </w:p>
        </w:tc>
      </w:tr>
    </w:tbl>
    <w:p>
      <w:pPr>
        <w:spacing w:before="0" w:after="120"/>
      </w:pPr>
    </w:p>
    <w:p>
      <w:pPr>
        <w:spacing w:before="40" w:after="60"/>
      </w:pPr>
      <w:r>
        <w:rPr>
          <w:rFonts w:ascii="Arial" w:hAnsi="Arial"/>
          <w:b/>
          <w:i w:val="0"/>
          <w:color w:val="1F3864"/>
          <w:sz w:val="20"/>
        </w:rPr>
        <w:t>Actions décidées</w:t>
      </w:r>
    </w:p>
    <w:tbl>
      <w:tblPr>
        <w:tblW w:type="auto" w:w="0"/>
        <w:tblLook w:firstColumn="1" w:firstRow="1" w:lastColumn="0" w:lastRow="0" w:noHBand="0" w:noVBand="1" w:val="04A0"/>
        <w:tblBorders>
          <w:top w:val="single" w:sz="4" w:color="9AA7BD"/>
          <w:left w:val="single" w:sz="4" w:color="9AA7BD"/>
          <w:bottom w:val="single" w:sz="4" w:color="9AA7BD"/>
          <w:right w:val="single" w:sz="4" w:color="9AA7BD"/>
          <w:insideH w:val="single" w:sz="4" w:color="9AA7BD"/>
          <w:insideV w:val="single" w:sz="4" w:color="9AA7BD"/>
        </w:tblBorders>
      </w:tblPr>
      <w:tblGrid>
        <w:gridCol w:w="2438"/>
        <w:gridCol w:w="2438"/>
        <w:gridCol w:w="2438"/>
        <w:gridCol w:w="2438"/>
      </w:tblGrid>
      <w:tr>
        <w:trPr>
          <w:tblHeader w:val="true"/>
        </w:trPr>
        <w:tc>
          <w:tcPr>
            <w:tcW w:type="dxa" w:w="510"/>
            <w:shd w:val="clear" w:fill="1F3864"/>
          </w:tcPr>
          <w:p>
            <w:pPr>
              <w:spacing w:after="20" w:before="20"/>
            </w:pPr>
            <w:r/>
            <w:r>
              <w:rPr>
                <w:rFonts w:ascii="Arial" w:hAnsi="Arial"/>
                <w:b/>
                <w:color w:val="FFFFFF"/>
                <w:sz w:val="17"/>
              </w:rPr>
              <w:t>#</w:t>
            </w:r>
          </w:p>
        </w:tc>
        <w:tc>
          <w:tcPr>
            <w:tcW w:type="dxa" w:w="5556"/>
            <w:shd w:val="clear" w:fill="1F3864"/>
          </w:tcPr>
          <w:p>
            <w:pPr>
              <w:spacing w:after="20" w:before="20"/>
            </w:pPr>
            <w:r/>
            <w:r>
              <w:rPr>
                <w:rFonts w:ascii="Arial" w:hAnsi="Arial"/>
                <w:b/>
                <w:color w:val="FFFFFF"/>
                <w:sz w:val="17"/>
              </w:rPr>
              <w:t>Action</w:t>
            </w:r>
          </w:p>
        </w:tc>
        <w:tc>
          <w:tcPr>
            <w:tcW w:type="dxa" w:w="2381"/>
            <w:shd w:val="clear" w:fill="1F3864"/>
          </w:tcPr>
          <w:p>
            <w:pPr>
              <w:spacing w:after="20" w:before="20"/>
            </w:pPr>
            <w:r/>
            <w:r>
              <w:rPr>
                <w:rFonts w:ascii="Arial" w:hAnsi="Arial"/>
                <w:b/>
                <w:color w:val="FFFFFF"/>
                <w:sz w:val="17"/>
              </w:rPr>
              <w:t>Responsable</w:t>
            </w:r>
          </w:p>
        </w:tc>
        <w:tc>
          <w:tcPr>
            <w:tcW w:type="dxa" w:w="1304"/>
            <w:shd w:val="clear" w:fill="1F3864"/>
          </w:tcPr>
          <w:p>
            <w:pPr>
              <w:spacing w:after="20" w:before="20"/>
            </w:pPr>
            <w:r/>
            <w:r>
              <w:rPr>
                <w:rFonts w:ascii="Arial" w:hAnsi="Arial"/>
                <w:b/>
                <w:color w:val="FFFFFF"/>
                <w:sz w:val="17"/>
              </w:rPr>
              <w:t>Échéance</w:t>
            </w:r>
          </w:p>
        </w:tc>
      </w:tr>
      <w:tr>
        <w:tc>
          <w:tcPr>
            <w:tcW w:type="dxa" w:w="510"/>
          </w:tcPr>
          <w:p>
            <w:pPr>
              <w:spacing w:after="20" w:before="20"/>
            </w:pPr>
            <w:r/>
            <w:r>
              <w:rPr>
                <w:rFonts w:ascii="Arial" w:hAnsi="Arial"/>
                <w:b w:val="0"/>
                <w:sz w:val="17"/>
              </w:rPr>
              <w:t>1</w:t>
            </w:r>
          </w:p>
        </w:tc>
        <w:tc>
          <w:tcPr>
            <w:tcW w:type="dxa" w:w="5556"/>
          </w:tcPr>
          <w:p>
            <w:pPr>
              <w:spacing w:after="20" w:before="20"/>
            </w:pPr>
            <w:r/>
            <w:r>
              <w:rPr>
                <w:rFonts w:ascii="Arial" w:hAnsi="Arial"/>
                <w:b w:val="0"/>
                <w:sz w:val="17"/>
              </w:rPr>
              <w:t>Adresser le fichier de collecte à l'ensemble des formateurs</w:t>
            </w:r>
          </w:p>
        </w:tc>
        <w:tc>
          <w:tcPr>
            <w:tcW w:type="dxa" w:w="2381"/>
          </w:tcPr>
          <w:p>
            <w:pPr>
              <w:spacing w:after="20" w:before="20"/>
            </w:pPr>
            <w:r/>
            <w:r>
              <w:rPr>
                <w:rFonts w:ascii="Arial" w:hAnsi="Arial"/>
                <w:b w:val="0"/>
                <w:sz w:val="17"/>
              </w:rPr>
              <w:t>Chef de projet</w:t>
            </w:r>
          </w:p>
        </w:tc>
        <w:tc>
          <w:tcPr>
            <w:tcW w:type="dxa" w:w="1304"/>
          </w:tcPr>
          <w:p>
            <w:pPr>
              <w:spacing w:after="20" w:before="20"/>
            </w:pPr>
            <w:r/>
            <w:r>
              <w:rPr>
                <w:rFonts w:ascii="Arial" w:hAnsi="Arial"/>
                <w:b w:val="0"/>
                <w:sz w:val="17"/>
              </w:rPr>
              <w:t>10/04/2026</w:t>
            </w:r>
          </w:p>
        </w:tc>
      </w:tr>
      <w:tr>
        <w:tc>
          <w:tcPr>
            <w:tcW w:type="dxa" w:w="510"/>
          </w:tcPr>
          <w:p>
            <w:pPr>
              <w:spacing w:after="20" w:before="20"/>
            </w:pPr>
            <w:r/>
            <w:r>
              <w:rPr>
                <w:rFonts w:ascii="Arial" w:hAnsi="Arial"/>
                <w:b w:val="0"/>
                <w:sz w:val="17"/>
              </w:rPr>
              <w:t>2</w:t>
            </w:r>
          </w:p>
        </w:tc>
        <w:tc>
          <w:tcPr>
            <w:tcW w:type="dxa" w:w="5556"/>
          </w:tcPr>
          <w:p>
            <w:pPr>
              <w:spacing w:after="20" w:before="20"/>
            </w:pPr>
            <w:r/>
            <w:r>
              <w:rPr>
                <w:rFonts w:ascii="Arial" w:hAnsi="Arial"/>
                <w:b w:val="0"/>
                <w:sz w:val="17"/>
              </w:rPr>
              <w:t>Consulter individuellement les formateurs sur leurs modules avant rédaction</w:t>
            </w:r>
          </w:p>
        </w:tc>
        <w:tc>
          <w:tcPr>
            <w:tcW w:type="dxa" w:w="2381"/>
          </w:tcPr>
          <w:p>
            <w:pPr>
              <w:spacing w:after="20" w:before="20"/>
            </w:pPr>
            <w:r/>
            <w:r>
              <w:rPr>
                <w:rFonts w:ascii="Arial" w:hAnsi="Arial"/>
                <w:b w:val="0"/>
                <w:sz w:val="17"/>
              </w:rPr>
              <w:t>Chef de projet</w:t>
            </w:r>
          </w:p>
        </w:tc>
        <w:tc>
          <w:tcPr>
            <w:tcW w:type="dxa" w:w="1304"/>
          </w:tcPr>
          <w:p>
            <w:pPr>
              <w:spacing w:after="20" w:before="20"/>
            </w:pPr>
            <w:r/>
            <w:r>
              <w:rPr>
                <w:rFonts w:ascii="Arial" w:hAnsi="Arial"/>
                <w:b w:val="0"/>
                <w:sz w:val="17"/>
              </w:rPr>
              <w:t>En continu</w:t>
            </w:r>
          </w:p>
        </w:tc>
      </w:tr>
      <w:tr>
        <w:tc>
          <w:tcPr>
            <w:tcW w:type="dxa" w:w="510"/>
          </w:tcPr>
          <w:p>
            <w:pPr>
              <w:spacing w:after="20" w:before="20"/>
            </w:pPr>
            <w:r/>
            <w:r>
              <w:rPr>
                <w:rFonts w:ascii="Arial" w:hAnsi="Arial"/>
                <w:b w:val="0"/>
                <w:sz w:val="17"/>
              </w:rPr>
              <w:t>3</w:t>
            </w:r>
          </w:p>
        </w:tc>
        <w:tc>
          <w:tcPr>
            <w:tcW w:type="dxa" w:w="5556"/>
          </w:tcPr>
          <w:p>
            <w:pPr>
              <w:spacing w:after="20" w:before="20"/>
            </w:pPr>
            <w:r/>
            <w:r>
              <w:rPr>
                <w:rFonts w:ascii="Arial" w:hAnsi="Arial"/>
                <w:b w:val="0"/>
                <w:sz w:val="17"/>
              </w:rPr>
              <w:t>Préciser dans le gabarit ce que la fiche fixe et ce qu'elle laisse libre</w:t>
            </w:r>
          </w:p>
        </w:tc>
        <w:tc>
          <w:tcPr>
            <w:tcW w:type="dxa" w:w="2381"/>
          </w:tcPr>
          <w:p>
            <w:pPr>
              <w:spacing w:after="20" w:before="20"/>
            </w:pPr>
            <w:r/>
            <w:r>
              <w:rPr>
                <w:rFonts w:ascii="Arial" w:hAnsi="Arial"/>
                <w:b w:val="0"/>
                <w:sz w:val="17"/>
              </w:rPr>
              <w:t>Chef de projet</w:t>
            </w:r>
          </w:p>
        </w:tc>
        <w:tc>
          <w:tcPr>
            <w:tcW w:type="dxa" w:w="1304"/>
          </w:tcPr>
          <w:p>
            <w:pPr>
              <w:spacing w:after="20" w:before="20"/>
            </w:pPr>
            <w:r/>
            <w:r>
              <w:rPr>
                <w:rFonts w:ascii="Arial" w:hAnsi="Arial"/>
                <w:b w:val="0"/>
                <w:sz w:val="17"/>
              </w:rPr>
              <w:t>30/04/2026</w:t>
            </w:r>
          </w:p>
        </w:tc>
      </w:tr>
      <w:tr>
        <w:tc>
          <w:tcPr>
            <w:tcW w:type="dxa" w:w="510"/>
          </w:tcPr>
          <w:p>
            <w:pPr>
              <w:spacing w:after="20" w:before="20"/>
            </w:pPr>
            <w:r/>
            <w:r>
              <w:rPr>
                <w:rFonts w:ascii="Arial" w:hAnsi="Arial"/>
                <w:b w:val="0"/>
                <w:sz w:val="17"/>
              </w:rPr>
              <w:t>4</w:t>
            </w:r>
          </w:p>
        </w:tc>
        <w:tc>
          <w:tcPr>
            <w:tcW w:type="dxa" w:w="5556"/>
          </w:tcPr>
          <w:p>
            <w:pPr>
              <w:spacing w:after="20" w:before="20"/>
            </w:pPr>
            <w:r/>
            <w:r>
              <w:rPr>
                <w:rFonts w:ascii="Arial" w:hAnsi="Arial"/>
                <w:b w:val="0"/>
                <w:sz w:val="17"/>
              </w:rPr>
              <w:t>Relayer la demande de collecte auprès des absents</w:t>
            </w:r>
          </w:p>
        </w:tc>
        <w:tc>
          <w:tcPr>
            <w:tcW w:type="dxa" w:w="2381"/>
          </w:tcPr>
          <w:p>
            <w:pPr>
              <w:spacing w:after="20" w:before="20"/>
            </w:pPr>
            <w:r/>
            <w:r>
              <w:rPr>
                <w:rFonts w:ascii="Arial" w:hAnsi="Arial"/>
                <w:b w:val="0"/>
                <w:sz w:val="17"/>
              </w:rPr>
              <w:t>Responsable pédagogique</w:t>
            </w:r>
          </w:p>
        </w:tc>
        <w:tc>
          <w:tcPr>
            <w:tcW w:type="dxa" w:w="1304"/>
          </w:tcPr>
          <w:p>
            <w:pPr>
              <w:spacing w:after="20" w:before="20"/>
            </w:pPr>
            <w:r/>
            <w:r>
              <w:rPr>
                <w:rFonts w:ascii="Arial" w:hAnsi="Arial"/>
                <w:b w:val="0"/>
                <w:sz w:val="17"/>
              </w:rPr>
              <w:t>15/04/2026</w:t>
            </w:r>
          </w:p>
        </w:tc>
      </w:tr>
    </w:tbl>
    <w:p>
      <w:pPr>
        <w:spacing w:before="0" w:after="120"/>
      </w:pPr>
    </w:p>
    <w:tbl>
      <w:tblPr>
        <w:tblW w:type="auto" w:w="0"/>
        <w:tblLook w:firstColumn="1" w:firstRow="1" w:lastColumn="0" w:lastRow="0" w:noHBand="0" w:noVBand="1" w:val="04A0"/>
        <w:tblBorders>
          <w:top w:val="single" w:sz="4" w:color="9AA7BD"/>
          <w:left w:val="single" w:sz="4" w:color="9AA7BD"/>
          <w:bottom w:val="single" w:sz="4" w:color="9AA7BD"/>
          <w:right w:val="single" w:sz="4" w:color="9AA7BD"/>
          <w:insideH w:val="single" w:sz="4" w:color="9AA7BD"/>
          <w:insideV w:val="single" w:sz="4" w:color="9AA7BD"/>
        </w:tblBorders>
      </w:tblPr>
      <w:tblGrid>
        <w:gridCol w:w="9752"/>
      </w:tblGrid>
      <w:tr>
        <w:tc>
          <w:tcPr>
            <w:tcW w:type="dxa" w:w="9752"/>
            <w:shd w:val="clear" w:fill="EAEFF7"/>
          </w:tcPr>
          <w:p>
            <w:pPr>
              <w:spacing w:after="20" w:before="20"/>
            </w:pPr>
            <w:r/>
            <w:r>
              <w:rPr>
                <w:rFonts w:ascii="Arial" w:hAnsi="Arial"/>
                <w:b/>
                <w:color w:val="1F3864"/>
                <w:sz w:val="20"/>
              </w:rPr>
              <w:t>Points de vigilance</w:t>
            </w:r>
          </w:p>
        </w:tc>
      </w:tr>
      <w:tr>
        <w:tc>
          <w:tcPr>
            <w:tcW w:type="dxa" w:w="9752"/>
          </w:tcPr>
          <w:p>
            <w:pPr>
              <w:spacing w:after="60" w:before="20"/>
            </w:pPr>
            <w:r/>
            <w:r>
              <w:rPr>
                <w:rFonts w:ascii="Arial" w:hAnsi="Arial"/>
                <w:b w:val="0"/>
                <w:sz w:val="19"/>
              </w:rPr>
              <w:t>La collecte repose sur une démarche volontaire : rien n'oblige un formateur à répondre, et le chef de projet n'a aucune autorité pour l'exiger. Le taux de réponse sera le premier indicateur de l'appropriation du projet par l'équipe.</w:t>
            </w:r>
          </w:p>
        </w:tc>
      </w:tr>
    </w:tbl>
    <w:p>
      <w:pPr>
        <w:spacing w:before="0" w:after="120"/>
      </w:pPr>
    </w:p>
    <w:tbl>
      <w:tblPr>
        <w:tblW w:type="auto" w:w="0"/>
        <w:tblLook w:firstColumn="1" w:firstRow="1" w:lastColumn="0" w:lastRow="0" w:noHBand="0" w:noVBand="1" w:val="04A0"/>
        <w:tblBorders>
          <w:top w:val="single" w:sz="4" w:color="9AA7BD"/>
          <w:left w:val="single" w:sz="4" w:color="9AA7BD"/>
          <w:bottom w:val="single" w:sz="4" w:color="9AA7BD"/>
          <w:right w:val="single" w:sz="4" w:color="9AA7BD"/>
          <w:insideH w:val="single" w:sz="4" w:color="9AA7BD"/>
          <w:insideV w:val="single" w:sz="4" w:color="9AA7BD"/>
        </w:tblBorders>
      </w:tblPr>
      <w:tblGrid>
        <w:gridCol w:w="9752"/>
      </w:tblGrid>
      <w:tr>
        <w:tc>
          <w:tcPr>
            <w:tcW w:type="dxa" w:w="9752"/>
            <w:shd w:val="clear" w:fill="EAEFF7"/>
          </w:tcPr>
          <w:p>
            <w:pPr>
              <w:spacing w:after="20" w:before="20"/>
            </w:pPr>
            <w:r/>
            <w:r>
              <w:rPr>
                <w:rFonts w:ascii="Arial" w:hAnsi="Arial"/>
                <w:b/>
                <w:color w:val="1F3864"/>
                <w:sz w:val="20"/>
              </w:rPr>
              <w:t>Prochaine réunion</w:t>
            </w:r>
          </w:p>
        </w:tc>
      </w:tr>
      <w:tr>
        <w:tc>
          <w:tcPr>
            <w:tcW w:type="dxa" w:w="9752"/>
          </w:tcPr>
          <w:p>
            <w:pPr>
              <w:spacing w:after="60" w:before="20"/>
            </w:pPr>
            <w:r/>
            <w:r>
              <w:rPr>
                <w:rFonts w:ascii="Arial" w:hAnsi="Arial"/>
                <w:b w:val="0"/>
                <w:sz w:val="19"/>
              </w:rPr>
              <w:t>Comité pédagogique de mai, avec pour ordre du jour le retour de collecte et la préparation de la revue d'expert.</w:t>
            </w:r>
          </w:p>
        </w:tc>
      </w:tr>
    </w:tbl>
    <w:p>
      <w:pPr>
        <w:spacing w:before="0" w:after="120"/>
      </w:pPr>
    </w:p>
    <w:sectPr w:rsidR="00FC693F" w:rsidRPr="0006063C" w:rsidSect="00034616">
      <w:headerReference w:type="default" r:id="rId9"/>
      <w:footerReference w:type="default" r:id="rId10"/>
      <w:pgSz w:w="11906" w:h="16838"/>
      <w:pgMar w:top="1361" w:right="1077" w:bottom="964" w:left="1077" w:header="510" w:footer="51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color w:val="606060"/>
        <w:sz w:val="16"/>
      </w:rPr>
      <w:t xml:space="preserve">IMIE Paris   ·   </w:t>
    </w:r>
    <w:fldSimple w:instr="PAGE">
      <w:r>
        <w:rPr>
          <w:sz w:val="16"/>
        </w:rPr>
      </w:r>
    </w:fldSimpl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r/>
  </w:p>
  <w:tbl>
    <w:tblPr>
      <w:tblW w:type="auto" w:w="0"/>
      <w:tblLook w:firstColumn="1" w:firstRow="1" w:lastColumn="0" w:lastRow="0" w:noHBand="0" w:noVBand="1" w:val="04A0"/>
      <w:tblBorders>
        <w:top w:val="none"/>
        <w:left w:val="none"/>
        <w:bottom w:val="none"/>
        <w:right w:val="none"/>
        <w:insideH w:val="none"/>
        <w:insideV w:val="none"/>
      </w:tblBorders>
    </w:tblPr>
    <w:tblGrid>
      <w:gridCol w:w="3402"/>
      <w:gridCol w:w="6350"/>
    </w:tblGrid>
    <w:tr>
      <w:tc>
        <w:tcPr>
          <w:tcW w:type="dxa" w:w="4876"/>
        </w:tcPr>
        <w:p>
          <w:pPr>
            <w:spacing w:after="0"/>
          </w:pPr>
          <w:r>
            <w:drawing>
              <wp:inline xmlns:a="http://schemas.openxmlformats.org/drawingml/2006/main" xmlns:pic="http://schemas.openxmlformats.org/drawingml/2006/picture">
                <wp:extent cx="342000" cy="342000"/>
                <wp:docPr id="1" name="Picture 1"/>
                <wp:cNvGraphicFramePr>
                  <a:graphicFrameLocks noChangeAspect="1"/>
                </wp:cNvGraphicFramePr>
                <a:graphic>
                  <a:graphicData uri="http://schemas.openxmlformats.org/drawingml/2006/picture">
                    <pic:pic>
                      <pic:nvPicPr>
                        <pic:cNvPr id="0" name="logo_imie_entete.png"/>
                        <pic:cNvPicPr/>
                      </pic:nvPicPr>
                      <pic:blipFill>
                        <a:blip r:embed="rId1"/>
                        <a:stretch>
                          <a:fillRect/>
                        </a:stretch>
                      </pic:blipFill>
                      <pic:spPr>
                        <a:xfrm>
                          <a:off x="0" y="0"/>
                          <a:ext cx="342000" cy="342000"/>
                        </a:xfrm>
                        <a:prstGeom prst="rect"/>
                      </pic:spPr>
                    </pic:pic>
                  </a:graphicData>
                </a:graphic>
              </wp:inline>
            </w:drawing>
          </w:r>
        </w:p>
      </w:tc>
      <w:tc>
        <w:tcPr>
          <w:tcW w:type="dxa" w:w="4876"/>
        </w:tcPr>
        <w:p>
          <w:pPr>
            <w:spacing w:after="0" w:before="20"/>
            <w:jc w:val="right"/>
          </w:pPr>
          <w:r/>
          <w:r>
            <w:rPr>
              <w:rFonts w:ascii="Arial" w:hAnsi="Arial"/>
              <w:b/>
              <w:color w:val="1F3864"/>
              <w:sz w:val="18"/>
            </w:rPr>
            <w:t>Comité pédagogique du 6 avril 2026 · B1B2-2026</w:t>
          </w:r>
        </w:p>
      </w:tc>
    </w:tr>
  </w:tbl>
  <w:p>
    <w:pPr>
      <w:spacing w:before="40" w:after="0"/>
      <w:pBdr>
        <w:bottom w:val="single" w:sz="6" w:color="1F3864"/>
      </w:pBd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