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752"/>
      </w:tblGrid>
      <w:tr>
        <w:tc>
          <w:tcPr>
            <w:tcW w:type="dxa" w:w="9752"/>
            <w:shd w:val="clear" w:fill="1F3864"/>
          </w:tcPr>
          <w:p>
            <w:pPr>
              <w:spacing w:after="0" w:before="20"/>
              <w:jc w:val="center"/>
            </w:pPr>
            <w:r/>
            <w:r>
              <w:rPr>
                <w:rFonts w:ascii="Arial" w:hAnsi="Arial"/>
                <w:b/>
                <w:color w:val="FFFFFF"/>
                <w:sz w:val="32"/>
              </w:rPr>
              <w:t>Rapport flash</w:t>
            </w:r>
          </w:p>
          <w:p>
            <w:pPr>
              <w:spacing w:after="40"/>
              <w:jc w:val="center"/>
            </w:pPr>
            <w:r>
              <w:rPr>
                <w:rFonts w:ascii="Arial" w:hAnsi="Arial"/>
                <w:color w:val="D5DDEC"/>
                <w:sz w:val="20"/>
              </w:rPr>
              <w:t>Semaine du 17 au 21 août 2026 · Structuration des parcours B1/B2</w:t>
            </w:r>
          </w:p>
        </w:tc>
      </w:tr>
    </w:tbl>
    <w:p>
      <w:pPr>
        <w:spacing w:before="0"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9AA7BD"/>
          <w:left w:val="single" w:sz="4" w:color="9AA7BD"/>
          <w:bottom w:val="single" w:sz="4" w:color="9AA7BD"/>
          <w:right w:val="single" w:sz="4" w:color="9AA7BD"/>
          <w:insideH w:val="single" w:sz="4" w:color="9AA7BD"/>
          <w:insideV w:val="single" w:sz="4" w:color="9AA7BD"/>
        </w:tblBorders>
      </w:tblPr>
      <w:tblGrid>
        <w:gridCol w:w="2608"/>
        <w:gridCol w:w="7143"/>
      </w:tblGrid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Nom / Code projet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Structuration des parcours B1/B2  ·  B1B2-2026</w:t>
            </w:r>
          </w:p>
        </w:tc>
      </w:tr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Émetteur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Chef de projet</w:t>
            </w:r>
          </w:p>
        </w:tc>
      </w:tr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Destinataires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Direction, responsable pédagogique</w:t>
            </w:r>
          </w:p>
        </w:tc>
      </w:tr>
      <w:tr>
        <w:tc>
          <w:tcPr>
            <w:tcW w:type="dxa" w:w="2608"/>
            <w:shd w:val="clear" w:fill="EAEFF7"/>
          </w:tcPr>
          <w:p>
            <w:pPr>
              <w:spacing w:after="40" w:before="20"/>
            </w:pPr>
            <w:r/>
            <w:r>
              <w:rPr>
                <w:rFonts w:ascii="Arial" w:hAnsi="Arial"/>
                <w:b/>
                <w:color w:val="1F3864"/>
                <w:sz w:val="18"/>
              </w:rPr>
              <w:t>Statut d'ensemble</w:t>
            </w:r>
          </w:p>
        </w:tc>
        <w:tc>
          <w:tcPr>
            <w:tcW w:type="dxa" w:w="7143"/>
          </w:tcPr>
          <w:p>
            <w:pPr>
              <w:spacing w:after="40" w:before="20"/>
            </w:pPr>
            <w:r/>
            <w:r>
              <w:rPr>
                <w:rFonts w:ascii="Arial" w:hAnsi="Arial"/>
                <w:b w:val="0"/>
                <w:sz w:val="18"/>
              </w:rPr>
              <w:t>Vert  ·  objectif atteint, points ouverts maîtrisés</w:t>
            </w:r>
          </w:p>
        </w:tc>
      </w:tr>
    </w:tbl>
    <w:p>
      <w:pPr>
        <w:spacing w:before="0"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9AA7BD"/>
          <w:left w:val="single" w:sz="4" w:color="9AA7BD"/>
          <w:bottom w:val="single" w:sz="4" w:color="9AA7BD"/>
          <w:right w:val="single" w:sz="4" w:color="9AA7BD"/>
          <w:insideH w:val="single" w:sz="4" w:color="9AA7BD"/>
          <w:insideV w:val="single" w:sz="4" w:color="9AA7BD"/>
        </w:tblBorders>
      </w:tblPr>
      <w:tblGrid>
        <w:gridCol w:w="4876"/>
        <w:gridCol w:w="4876"/>
      </w:tblGrid>
      <w:tr>
        <w:trPr>
          <w:tblHeader w:val="true"/>
        </w:trPr>
        <w:tc>
          <w:tcPr>
            <w:tcW w:type="dxa" w:w="1928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Rubrique</w:t>
            </w:r>
          </w:p>
        </w:tc>
        <w:tc>
          <w:tcPr>
            <w:tcW w:type="dxa" w:w="7824"/>
            <w:shd w:val="clear" w:fill="1F3864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FFFFFF"/>
                <w:sz w:val="18"/>
              </w:rPr>
              <w:t>Contenu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Avancement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92 % du projet. Les référentiels, les fiches, les plannings et l'application sont livrés. La rentrée démarre avec le nouveau référentiel pour les deux premières années.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Fait cette semaine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Réception des derniers livrables documentaires. Mise en production consolidée de l'application, fiches importées. Constitution du pack de preuves qualité.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À faire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Finaliser le plan de recrutement pour l'année suivante. Écrire le bilan de projet. Prévoir le budget de fonctionnement de l'application.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Alertes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Trois modules du parcours de développement restent sans formateur déclarant une maîtrise suffisante. Le recrutement est engagé, sans conséquence sur la rentrée.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Décisions attendues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Budget de fonctionnement de l'application pour l'année à venir. Moyens à prévoir pour un projet de même ampleur.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Calendrier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Butoir de rentrée tenu. Un mois et demi de retard sur le prévu initial, sans conséquence.</w:t>
            </w:r>
          </w:p>
        </w:tc>
      </w:tr>
      <w:tr>
        <w:tc>
          <w:tcPr>
            <w:tcW w:type="dxa" w:w="1928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Coûts</w:t>
            </w:r>
          </w:p>
        </w:tc>
        <w:tc>
          <w:tcPr>
            <w:tcW w:type="dxa" w:w="7824"/>
          </w:tcPr>
          <w:p>
            <w:pPr>
              <w:spacing w:after="20" w:before="20"/>
            </w:pPr>
            <w:r/>
            <w:r>
              <w:rPr>
                <w:rFonts w:ascii="Arial" w:hAnsi="Arial"/>
                <w:b w:val="0"/>
                <w:sz w:val="18"/>
              </w:rPr>
              <w:t>Coûts directs conformes. Charge interne consommée très supérieure au prévu, portée par du temps hors contrat.</w:t>
            </w:r>
          </w:p>
        </w:tc>
      </w:tr>
    </w:tbl>
    <w:p>
      <w:pPr>
        <w:spacing w:before="0" w:after="120"/>
      </w:pPr>
    </w:p>
    <w:tbl>
      <w:tblPr>
        <w:tblW w:type="auto" w:w="0"/>
        <w:tblLook w:firstColumn="1" w:firstRow="1" w:lastColumn="0" w:lastRow="0" w:noHBand="0" w:noVBand="1" w:val="04A0"/>
        <w:tblBorders>
          <w:top w:val="single" w:sz="4" w:color="9AA7BD"/>
          <w:left w:val="single" w:sz="4" w:color="9AA7BD"/>
          <w:bottom w:val="single" w:sz="4" w:color="9AA7BD"/>
          <w:right w:val="single" w:sz="4" w:color="9AA7BD"/>
          <w:insideH w:val="single" w:sz="4" w:color="9AA7BD"/>
          <w:insideV w:val="single" w:sz="4" w:color="9AA7BD"/>
        </w:tblBorders>
      </w:tblPr>
      <w:tblGrid>
        <w:gridCol w:w="9752"/>
      </w:tblGrid>
      <w:tr>
        <w:tc>
          <w:tcPr>
            <w:tcW w:type="dxa" w:w="9752"/>
            <w:shd w:val="clear" w:fill="EAEFF7"/>
          </w:tcPr>
          <w:p>
            <w:pPr>
              <w:spacing w:after="20" w:before="20"/>
            </w:pPr>
            <w:r/>
            <w:r>
              <w:rPr>
                <w:rFonts w:ascii="Arial" w:hAnsi="Arial"/>
                <w:b/>
                <w:color w:val="1F3864"/>
                <w:sz w:val="20"/>
              </w:rPr>
              <w:t>En une phrase</w:t>
            </w:r>
          </w:p>
        </w:tc>
      </w:tr>
      <w:tr>
        <w:tc>
          <w:tcPr>
            <w:tcW w:type="dxa" w:w="9752"/>
          </w:tcPr>
          <w:p>
            <w:pPr>
              <w:spacing w:after="60" w:before="20"/>
            </w:pPr>
            <w:r/>
            <w:r>
              <w:rPr>
                <w:rFonts w:ascii="Arial" w:hAnsi="Arial"/>
                <w:b w:val="0"/>
                <w:sz w:val="19"/>
              </w:rPr>
              <w:t>Le projet a livré ce qu'il devait livrer et la nouvelle année scolaire démarre avec le référentiel refondu ; ce qui reste ouvert relève de l'installation dans la durée, pas de la réalisation.</w:t>
            </w:r>
          </w:p>
        </w:tc>
      </w:tr>
    </w:tbl>
    <w:p>
      <w:pPr>
        <w:spacing w:before="0" w:after="1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361" w:right="1077" w:bottom="964" w:left="1077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606060"/>
        <w:sz w:val="16"/>
      </w:rPr>
      <w:t xml:space="preserve">IMIE Paris   ·   </w:t>
    </w:r>
    <w:fldSimple w:instr="PAGE">
      <w:r>
        <w:rPr>
          <w:sz w:val="16"/>
        </w:rPr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3402"/>
      <w:gridCol w:w="6350"/>
    </w:tblGrid>
    <w:tr>
      <w:tc>
        <w:tcPr>
          <w:tcW w:type="dxa" w:w="4876"/>
        </w:tcPr>
        <w:p>
          <w:pPr>
            <w:spacing w:after="0"/>
          </w:pPr>
          <w:r>
            <w:drawing>
              <wp:inline xmlns:a="http://schemas.openxmlformats.org/drawingml/2006/main" xmlns:pic="http://schemas.openxmlformats.org/drawingml/2006/picture">
                <wp:extent cx="342000" cy="342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mie_ente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000" cy="34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76"/>
        </w:tcPr>
        <w:p>
          <w:pPr>
            <w:spacing w:after="0" w:before="20"/>
            <w:jc w:val="right"/>
          </w:pPr>
          <w:r/>
          <w:r>
            <w:rPr>
              <w:rFonts w:ascii="Arial" w:hAnsi="Arial"/>
              <w:b/>
              <w:color w:val="1F3864"/>
              <w:sz w:val="18"/>
            </w:rPr>
            <w:t>Rapport flash · Structuration des parcours B1/B2 · B1B2-2026</w:t>
          </w:r>
        </w:p>
      </w:tc>
    </w:tr>
  </w:tbl>
  <w:p>
    <w:pPr>
      <w:spacing w:before="40" w:after="0"/>
      <w:pBdr>
        <w:bottom w:val="single" w:sz="6" w:color="1F3864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