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Procès-verbal de réception des livrables</w:t>
            </w:r>
          </w:p>
          <w:p>
            <w:pPr>
              <w:spacing w:after="40"/>
              <w:jc w:val="center"/>
            </w:pPr>
            <w:r>
              <w:rPr>
                <w:rFonts w:ascii="Arial" w:hAnsi="Arial"/>
                <w:color w:val="D5DDEC"/>
                <w:sz w:val="20"/>
              </w:rPr>
              <w:t>Clôture du projet · Structuration des parcours B1/B2 · IMIE Paris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Charte de projet · suivi des livrables</w:t>
            </w:r>
          </w:p>
        </w:tc>
      </w:tr>
      <w:tr>
        <w:tc>
          <w:tcPr>
            <w:tcW w:type="dxa" w:w="2608"/>
            <w:shd w:val="clear" w:fill="EAEFF7"/>
          </w:tcPr>
          <w:p>
            <w:pPr>
              <w:spacing w:after="40" w:before="20"/>
            </w:pPr>
            <w:r/>
            <w:r>
              <w:rPr>
                <w:rFonts w:ascii="Arial" w:hAnsi="Arial"/>
                <w:b/>
                <w:color w:val="1F3864"/>
                <w:sz w:val="18"/>
              </w:rPr>
              <w:t>Date de réception</w:t>
            </w:r>
          </w:p>
        </w:tc>
        <w:tc>
          <w:tcPr>
            <w:tcW w:type="dxa" w:w="7143"/>
          </w:tcPr>
          <w:p>
            <w:pPr>
              <w:spacing w:after="40" w:before="20"/>
            </w:pPr>
            <w:r/>
            <w:r>
              <w:rPr>
                <w:rFonts w:ascii="Arial" w:hAnsi="Arial"/>
                <w:b w:val="0"/>
                <w:sz w:val="18"/>
              </w:rPr>
              <w:t>21 août 2026</w:t>
            </w:r>
          </w:p>
        </w:tc>
      </w:tr>
      <w:tr>
        <w:tc>
          <w:tcPr>
            <w:tcW w:type="dxa" w:w="2608"/>
            <w:shd w:val="clear" w:fill="EAEFF7"/>
          </w:tcPr>
          <w:p>
            <w:pPr>
              <w:spacing w:after="40" w:before="20"/>
            </w:pPr>
            <w:r/>
            <w:r>
              <w:rPr>
                <w:rFonts w:ascii="Arial" w:hAnsi="Arial"/>
                <w:b/>
                <w:color w:val="1F3864"/>
                <w:sz w:val="18"/>
              </w:rPr>
              <w:t>Remettant</w:t>
            </w:r>
          </w:p>
        </w:tc>
        <w:tc>
          <w:tcPr>
            <w:tcW w:type="dxa" w:w="7143"/>
          </w:tcPr>
          <w:p>
            <w:pPr>
              <w:spacing w:after="40" w:before="20"/>
            </w:pPr>
            <w:r/>
            <w:r>
              <w:rPr>
                <w:rFonts w:ascii="Arial" w:hAnsi="Arial"/>
                <w:b w:val="0"/>
                <w:sz w:val="18"/>
              </w:rPr>
              <w:t>Mohamed EL AFRIT, chef de projet</w:t>
            </w:r>
          </w:p>
        </w:tc>
      </w:tr>
      <w:tr>
        <w:tc>
          <w:tcPr>
            <w:tcW w:type="dxa" w:w="2608"/>
            <w:shd w:val="clear" w:fill="EAEFF7"/>
          </w:tcPr>
          <w:p>
            <w:pPr>
              <w:spacing w:after="40" w:before="20"/>
            </w:pPr>
            <w:r/>
            <w:r>
              <w:rPr>
                <w:rFonts w:ascii="Arial" w:hAnsi="Arial"/>
                <w:b/>
                <w:color w:val="1F3864"/>
                <w:sz w:val="18"/>
              </w:rPr>
              <w:t>Réceptionnaire</w:t>
            </w:r>
          </w:p>
        </w:tc>
        <w:tc>
          <w:tcPr>
            <w:tcW w:type="dxa" w:w="7143"/>
          </w:tcPr>
          <w:p>
            <w:pPr>
              <w:spacing w:after="40" w:before="20"/>
            </w:pPr>
            <w:r/>
            <w:r>
              <w:rPr>
                <w:rFonts w:ascii="Arial" w:hAnsi="Arial"/>
                <w:b w:val="0"/>
                <w:sz w:val="18"/>
              </w:rPr>
              <w:t>Responsable pédagogique, pour l'établissement</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Réception des livrables, deux réserves de clôture</w:t>
            </w:r>
          </w:p>
        </w:tc>
        <w:tc>
          <w:tcPr>
            <w:tcW w:type="dxa" w:w="1701"/>
          </w:tcPr>
          <w:p>
            <w:pPr>
              <w:spacing w:after="40" w:before="20"/>
            </w:pPr>
            <w:r/>
            <w:r>
              <w:rPr>
                <w:rFonts w:ascii="Arial" w:hAnsi="Arial"/>
                <w:b w:val="0"/>
                <w:sz w:val="18"/>
              </w:rPr>
              <w:t>21/08/2026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Objet de la réception</w:t>
            </w:r>
          </w:p>
        </w:tc>
      </w:tr>
      <w:tr>
        <w:tc>
          <w:tcPr>
            <w:tcW w:type="dxa" w:w="9752"/>
          </w:tcPr>
          <w:p>
            <w:pPr>
              <w:spacing w:after="60" w:before="20"/>
            </w:pPr>
            <w:r/>
            <w:r>
              <w:rPr>
                <w:rFonts w:ascii="Arial" w:hAnsi="Arial"/>
                <w:b w:val="0"/>
                <w:sz w:val="19"/>
              </w:rPr>
              <w:t>Le présent procès-verbal constate la remise des livrables du projet de structuration des parcours des deux premières années, et la conformité de ces livrables aux exigences arrêtées à la charte de projet et détaillées dans la matrice des exigences.</w:t>
            </w:r>
          </w:p>
        </w:tc>
      </w:tr>
    </w:tbl>
    <w:p>
      <w:pPr>
        <w:spacing w:before="0" w:after="120"/>
      </w:pPr>
    </w:p>
    <w:p>
      <w:pPr>
        <w:spacing w:before="40" w:after="60"/>
      </w:pPr>
      <w:r>
        <w:rPr>
          <w:rFonts w:ascii="Arial" w:hAnsi="Arial"/>
          <w:b/>
          <w:i w:val="0"/>
          <w:color w:val="1F3864"/>
          <w:sz w:val="20"/>
        </w:rPr>
        <w:t>Livrables réceptionnés sans réserve</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5443"/>
            <w:shd w:val="clear" w:fill="1F3864"/>
          </w:tcPr>
          <w:p>
            <w:pPr>
              <w:spacing w:after="20" w:before="20"/>
            </w:pPr>
            <w:r/>
            <w:r>
              <w:rPr>
                <w:rFonts w:ascii="Arial" w:hAnsi="Arial"/>
                <w:b/>
                <w:color w:val="FFFFFF"/>
                <w:sz w:val="16"/>
              </w:rPr>
              <w:t>Livrable</w:t>
            </w:r>
          </w:p>
        </w:tc>
        <w:tc>
          <w:tcPr>
            <w:tcW w:type="dxa" w:w="2041"/>
            <w:shd w:val="clear" w:fill="1F3864"/>
          </w:tcPr>
          <w:p>
            <w:pPr>
              <w:spacing w:after="20" w:before="20"/>
            </w:pPr>
            <w:r/>
            <w:r>
              <w:rPr>
                <w:rFonts w:ascii="Arial" w:hAnsi="Arial"/>
                <w:b/>
                <w:color w:val="FFFFFF"/>
                <w:sz w:val="16"/>
              </w:rPr>
              <w:t>Lot</w:t>
            </w:r>
          </w:p>
        </w:tc>
        <w:tc>
          <w:tcPr>
            <w:tcW w:type="dxa" w:w="2268"/>
            <w:shd w:val="clear" w:fill="1F3864"/>
          </w:tcPr>
          <w:p>
            <w:pPr>
              <w:spacing w:after="20" w:before="20"/>
            </w:pPr>
            <w:r/>
            <w:r>
              <w:rPr>
                <w:rFonts w:ascii="Arial" w:hAnsi="Arial"/>
                <w:b/>
                <w:color w:val="FFFFFF"/>
                <w:sz w:val="16"/>
              </w:rPr>
              <w:t>Remis le</w:t>
            </w:r>
          </w:p>
        </w:tc>
      </w:tr>
      <w:tr>
        <w:tc>
          <w:tcPr>
            <w:tcW w:type="dxa" w:w="5443"/>
          </w:tcPr>
          <w:p>
            <w:pPr>
              <w:spacing w:after="20" w:before="20"/>
            </w:pPr>
            <w:r/>
            <w:r>
              <w:rPr>
                <w:rFonts w:ascii="Arial" w:hAnsi="Arial"/>
                <w:b w:val="0"/>
                <w:sz w:val="16"/>
              </w:rPr>
              <w:t>Étude d'opportunité</w:t>
            </w:r>
          </w:p>
        </w:tc>
        <w:tc>
          <w:tcPr>
            <w:tcW w:type="dxa" w:w="2041"/>
          </w:tcPr>
          <w:p>
            <w:pPr>
              <w:spacing w:after="20" w:before="20"/>
            </w:pPr>
            <w:r/>
            <w:r>
              <w:rPr>
                <w:rFonts w:ascii="Arial" w:hAnsi="Arial"/>
                <w:b w:val="0"/>
                <w:sz w:val="16"/>
              </w:rPr>
              <w:t>Lot 1.1</w:t>
            </w:r>
          </w:p>
        </w:tc>
        <w:tc>
          <w:tcPr>
            <w:tcW w:type="dxa" w:w="2268"/>
          </w:tcPr>
          <w:p>
            <w:pPr>
              <w:spacing w:after="20" w:before="20"/>
            </w:pPr>
            <w:r/>
            <w:r>
              <w:rPr>
                <w:rFonts w:ascii="Arial" w:hAnsi="Arial"/>
                <w:b w:val="0"/>
                <w:sz w:val="16"/>
              </w:rPr>
              <w:t>08/12/2025</w:t>
            </w:r>
          </w:p>
        </w:tc>
      </w:tr>
      <w:tr>
        <w:tc>
          <w:tcPr>
            <w:tcW w:type="dxa" w:w="5443"/>
          </w:tcPr>
          <w:p>
            <w:pPr>
              <w:spacing w:after="20" w:before="20"/>
            </w:pPr>
            <w:r/>
            <w:r>
              <w:rPr>
                <w:rFonts w:ascii="Arial" w:hAnsi="Arial"/>
                <w:b w:val="0"/>
                <w:sz w:val="16"/>
              </w:rPr>
              <w:t>Charte de projet</w:t>
            </w:r>
          </w:p>
        </w:tc>
        <w:tc>
          <w:tcPr>
            <w:tcW w:type="dxa" w:w="2041"/>
          </w:tcPr>
          <w:p>
            <w:pPr>
              <w:spacing w:after="20" w:before="20"/>
            </w:pPr>
            <w:r/>
            <w:r>
              <w:rPr>
                <w:rFonts w:ascii="Arial" w:hAnsi="Arial"/>
                <w:b w:val="0"/>
                <w:sz w:val="16"/>
              </w:rPr>
              <w:t>Lot 1.2</w:t>
            </w:r>
          </w:p>
        </w:tc>
        <w:tc>
          <w:tcPr>
            <w:tcW w:type="dxa" w:w="2268"/>
          </w:tcPr>
          <w:p>
            <w:pPr>
              <w:spacing w:after="20" w:before="20"/>
            </w:pPr>
            <w:r/>
            <w:r>
              <w:rPr>
                <w:rFonts w:ascii="Arial" w:hAnsi="Arial"/>
                <w:b w:val="0"/>
                <w:sz w:val="16"/>
              </w:rPr>
              <w:t>12/01/2026</w:t>
            </w:r>
          </w:p>
        </w:tc>
      </w:tr>
      <w:tr>
        <w:tc>
          <w:tcPr>
            <w:tcW w:type="dxa" w:w="5443"/>
          </w:tcPr>
          <w:p>
            <w:pPr>
              <w:spacing w:after="20" w:before="20"/>
            </w:pPr>
            <w:r/>
            <w:r>
              <w:rPr>
                <w:rFonts w:ascii="Arial" w:hAnsi="Arial"/>
                <w:b w:val="0"/>
                <w:sz w:val="16"/>
              </w:rPr>
              <w:t>Plannings des quatre titres</w:t>
            </w:r>
          </w:p>
        </w:tc>
        <w:tc>
          <w:tcPr>
            <w:tcW w:type="dxa" w:w="2041"/>
          </w:tcPr>
          <w:p>
            <w:pPr>
              <w:spacing w:after="20" w:before="20"/>
            </w:pPr>
            <w:r/>
            <w:r>
              <w:rPr>
                <w:rFonts w:ascii="Arial" w:hAnsi="Arial"/>
                <w:b w:val="0"/>
                <w:sz w:val="16"/>
              </w:rPr>
              <w:t>Lot 1.3</w:t>
            </w:r>
          </w:p>
        </w:tc>
        <w:tc>
          <w:tcPr>
            <w:tcW w:type="dxa" w:w="2268"/>
          </w:tcPr>
          <w:p>
            <w:pPr>
              <w:spacing w:after="20" w:before="20"/>
            </w:pPr>
            <w:r/>
            <w:r>
              <w:rPr>
                <w:rFonts w:ascii="Arial" w:hAnsi="Arial"/>
                <w:b w:val="0"/>
                <w:sz w:val="16"/>
              </w:rPr>
              <w:t>13/02/2026</w:t>
            </w:r>
          </w:p>
        </w:tc>
      </w:tr>
      <w:tr>
        <w:tc>
          <w:tcPr>
            <w:tcW w:type="dxa" w:w="5443"/>
          </w:tcPr>
          <w:p>
            <w:pPr>
              <w:spacing w:after="20" w:before="20"/>
            </w:pPr>
            <w:r/>
            <w:r>
              <w:rPr>
                <w:rFonts w:ascii="Arial" w:hAnsi="Arial"/>
                <w:b w:val="0"/>
                <w:sz w:val="16"/>
              </w:rPr>
              <w:t>Cadre d'évaluation harmonisé</w:t>
            </w:r>
          </w:p>
        </w:tc>
        <w:tc>
          <w:tcPr>
            <w:tcW w:type="dxa" w:w="2041"/>
          </w:tcPr>
          <w:p>
            <w:pPr>
              <w:spacing w:after="20" w:before="20"/>
            </w:pPr>
            <w:r/>
            <w:r>
              <w:rPr>
                <w:rFonts w:ascii="Arial" w:hAnsi="Arial"/>
                <w:b w:val="0"/>
                <w:sz w:val="16"/>
              </w:rPr>
              <w:t>Lot 1.4</w:t>
            </w:r>
          </w:p>
        </w:tc>
        <w:tc>
          <w:tcPr>
            <w:tcW w:type="dxa" w:w="2268"/>
          </w:tcPr>
          <w:p>
            <w:pPr>
              <w:spacing w:after="20" w:before="20"/>
            </w:pPr>
            <w:r/>
            <w:r>
              <w:rPr>
                <w:rFonts w:ascii="Arial" w:hAnsi="Arial"/>
                <w:b w:val="0"/>
                <w:sz w:val="16"/>
              </w:rPr>
              <w:t>27/02/2026</w:t>
            </w:r>
          </w:p>
        </w:tc>
      </w:tr>
      <w:tr>
        <w:tc>
          <w:tcPr>
            <w:tcW w:type="dxa" w:w="5443"/>
          </w:tcPr>
          <w:p>
            <w:pPr>
              <w:spacing w:after="20" w:before="20"/>
            </w:pPr>
            <w:r/>
            <w:r>
              <w:rPr>
                <w:rFonts w:ascii="Arial" w:hAnsi="Arial"/>
                <w:b w:val="0"/>
                <w:sz w:val="16"/>
              </w:rPr>
              <w:t>Diagnostic et analyse du besoin</w:t>
            </w:r>
          </w:p>
        </w:tc>
        <w:tc>
          <w:tcPr>
            <w:tcW w:type="dxa" w:w="2041"/>
          </w:tcPr>
          <w:p>
            <w:pPr>
              <w:spacing w:after="20" w:before="20"/>
            </w:pPr>
            <w:r/>
            <w:r>
              <w:rPr>
                <w:rFonts w:ascii="Arial" w:hAnsi="Arial"/>
                <w:b w:val="0"/>
                <w:sz w:val="16"/>
              </w:rPr>
              <w:t>Lot 2.3</w:t>
            </w:r>
          </w:p>
        </w:tc>
        <w:tc>
          <w:tcPr>
            <w:tcW w:type="dxa" w:w="2268"/>
          </w:tcPr>
          <w:p>
            <w:pPr>
              <w:spacing w:after="20" w:before="20"/>
            </w:pPr>
            <w:r/>
            <w:r>
              <w:rPr>
                <w:rFonts w:ascii="Arial" w:hAnsi="Arial"/>
                <w:b w:val="0"/>
                <w:sz w:val="16"/>
              </w:rPr>
              <w:t>17/03/2026</w:t>
            </w:r>
          </w:p>
        </w:tc>
      </w:tr>
      <w:tr>
        <w:tc>
          <w:tcPr>
            <w:tcW w:type="dxa" w:w="5443"/>
          </w:tcPr>
          <w:p>
            <w:pPr>
              <w:spacing w:after="20" w:before="20"/>
            </w:pPr>
            <w:r/>
            <w:r>
              <w:rPr>
                <w:rFonts w:ascii="Arial" w:hAnsi="Arial"/>
                <w:b w:val="0"/>
                <w:sz w:val="16"/>
              </w:rPr>
              <w:t>Référentiel B1 Tronc Commun</w:t>
            </w:r>
          </w:p>
        </w:tc>
        <w:tc>
          <w:tcPr>
            <w:tcW w:type="dxa" w:w="2041"/>
          </w:tcPr>
          <w:p>
            <w:pPr>
              <w:spacing w:after="20" w:before="20"/>
            </w:pPr>
            <w:r/>
            <w:r>
              <w:rPr>
                <w:rFonts w:ascii="Arial" w:hAnsi="Arial"/>
                <w:b w:val="0"/>
                <w:sz w:val="16"/>
              </w:rPr>
              <w:t>Lot 2.4</w:t>
            </w:r>
          </w:p>
        </w:tc>
        <w:tc>
          <w:tcPr>
            <w:tcW w:type="dxa" w:w="2268"/>
          </w:tcPr>
          <w:p>
            <w:pPr>
              <w:spacing w:after="20" w:before="20"/>
            </w:pPr>
            <w:r/>
            <w:r>
              <w:rPr>
                <w:rFonts w:ascii="Arial" w:hAnsi="Arial"/>
                <w:b w:val="0"/>
                <w:sz w:val="16"/>
              </w:rPr>
              <w:t>17/04/2026</w:t>
            </w:r>
          </w:p>
        </w:tc>
      </w:tr>
      <w:tr>
        <w:tc>
          <w:tcPr>
            <w:tcW w:type="dxa" w:w="5443"/>
          </w:tcPr>
          <w:p>
            <w:pPr>
              <w:spacing w:after="20" w:before="20"/>
            </w:pPr>
            <w:r/>
            <w:r>
              <w:rPr>
                <w:rFonts w:ascii="Arial" w:hAnsi="Arial"/>
                <w:b w:val="0"/>
                <w:sz w:val="16"/>
              </w:rPr>
              <w:t>Référentiels B2 des deux filières</w:t>
            </w:r>
          </w:p>
        </w:tc>
        <w:tc>
          <w:tcPr>
            <w:tcW w:type="dxa" w:w="2041"/>
          </w:tcPr>
          <w:p>
            <w:pPr>
              <w:spacing w:after="20" w:before="20"/>
            </w:pPr>
            <w:r/>
            <w:r>
              <w:rPr>
                <w:rFonts w:ascii="Arial" w:hAnsi="Arial"/>
                <w:b w:val="0"/>
                <w:sz w:val="16"/>
              </w:rPr>
              <w:t>Lot 2.5</w:t>
            </w:r>
          </w:p>
        </w:tc>
        <w:tc>
          <w:tcPr>
            <w:tcW w:type="dxa" w:w="2268"/>
          </w:tcPr>
          <w:p>
            <w:pPr>
              <w:spacing w:after="20" w:before="20"/>
            </w:pPr>
            <w:r/>
            <w:r>
              <w:rPr>
                <w:rFonts w:ascii="Arial" w:hAnsi="Arial"/>
                <w:b w:val="0"/>
                <w:sz w:val="16"/>
              </w:rPr>
              <w:t>22/05/2026</w:t>
            </w:r>
          </w:p>
        </w:tc>
      </w:tr>
      <w:tr>
        <w:tc>
          <w:tcPr>
            <w:tcW w:type="dxa" w:w="5443"/>
          </w:tcPr>
          <w:p>
            <w:pPr>
              <w:spacing w:after="20" w:before="20"/>
            </w:pPr>
            <w:r/>
            <w:r>
              <w:rPr>
                <w:rFonts w:ascii="Arial" w:hAnsi="Arial"/>
                <w:b w:val="0"/>
                <w:sz w:val="16"/>
              </w:rPr>
              <w:t>Matrices de couverture</w:t>
            </w:r>
          </w:p>
        </w:tc>
        <w:tc>
          <w:tcPr>
            <w:tcW w:type="dxa" w:w="2041"/>
          </w:tcPr>
          <w:p>
            <w:pPr>
              <w:spacing w:after="20" w:before="20"/>
            </w:pPr>
            <w:r/>
            <w:r>
              <w:rPr>
                <w:rFonts w:ascii="Arial" w:hAnsi="Arial"/>
                <w:b w:val="0"/>
                <w:sz w:val="16"/>
              </w:rPr>
              <w:t>Lot 2.6</w:t>
            </w:r>
          </w:p>
        </w:tc>
        <w:tc>
          <w:tcPr>
            <w:tcW w:type="dxa" w:w="2268"/>
          </w:tcPr>
          <w:p>
            <w:pPr>
              <w:spacing w:after="20" w:before="20"/>
            </w:pPr>
            <w:r/>
            <w:r>
              <w:rPr>
                <w:rFonts w:ascii="Arial" w:hAnsi="Arial"/>
                <w:b w:val="0"/>
                <w:sz w:val="16"/>
              </w:rPr>
              <w:t>29/05/2026</w:t>
            </w:r>
          </w:p>
        </w:tc>
      </w:tr>
      <w:tr>
        <w:tc>
          <w:tcPr>
            <w:tcW w:type="dxa" w:w="5443"/>
          </w:tcPr>
          <w:p>
            <w:pPr>
              <w:spacing w:after="20" w:before="20"/>
            </w:pPr>
            <w:r/>
            <w:r>
              <w:rPr>
                <w:rFonts w:ascii="Arial" w:hAnsi="Arial"/>
                <w:b w:val="0"/>
                <w:sz w:val="16"/>
              </w:rPr>
              <w:t>Ordonnancement et prérequis</w:t>
            </w:r>
          </w:p>
        </w:tc>
        <w:tc>
          <w:tcPr>
            <w:tcW w:type="dxa" w:w="2041"/>
          </w:tcPr>
          <w:p>
            <w:pPr>
              <w:spacing w:after="20" w:before="20"/>
            </w:pPr>
            <w:r/>
            <w:r>
              <w:rPr>
                <w:rFonts w:ascii="Arial" w:hAnsi="Arial"/>
                <w:b w:val="0"/>
                <w:sz w:val="16"/>
              </w:rPr>
              <w:t>Lot 2.7</w:t>
            </w:r>
          </w:p>
        </w:tc>
        <w:tc>
          <w:tcPr>
            <w:tcW w:type="dxa" w:w="2268"/>
          </w:tcPr>
          <w:p>
            <w:pPr>
              <w:spacing w:after="20" w:before="20"/>
            </w:pPr>
            <w:r/>
            <w:r>
              <w:rPr>
                <w:rFonts w:ascii="Arial" w:hAnsi="Arial"/>
                <w:b w:val="0"/>
                <w:sz w:val="16"/>
              </w:rPr>
              <w:t>05/06/2026</w:t>
            </w:r>
          </w:p>
        </w:tc>
      </w:tr>
      <w:tr>
        <w:tc>
          <w:tcPr>
            <w:tcW w:type="dxa" w:w="5443"/>
          </w:tcPr>
          <w:p>
            <w:pPr>
              <w:spacing w:after="20" w:before="20"/>
            </w:pPr>
            <w:r/>
            <w:r>
              <w:rPr>
                <w:rFonts w:ascii="Arial" w:hAnsi="Arial"/>
                <w:b w:val="0"/>
                <w:sz w:val="16"/>
              </w:rPr>
              <w:t>Règlement des examens B1 et B2</w:t>
            </w:r>
          </w:p>
        </w:tc>
        <w:tc>
          <w:tcPr>
            <w:tcW w:type="dxa" w:w="2041"/>
          </w:tcPr>
          <w:p>
            <w:pPr>
              <w:spacing w:after="20" w:before="20"/>
            </w:pPr>
            <w:r/>
            <w:r>
              <w:rPr>
                <w:rFonts w:ascii="Arial" w:hAnsi="Arial"/>
                <w:b w:val="0"/>
                <w:sz w:val="16"/>
              </w:rPr>
              <w:t>Lot 2.8</w:t>
            </w:r>
          </w:p>
        </w:tc>
        <w:tc>
          <w:tcPr>
            <w:tcW w:type="dxa" w:w="2268"/>
          </w:tcPr>
          <w:p>
            <w:pPr>
              <w:spacing w:after="20" w:before="20"/>
            </w:pPr>
            <w:r/>
            <w:r>
              <w:rPr>
                <w:rFonts w:ascii="Arial" w:hAnsi="Arial"/>
                <w:b w:val="0"/>
                <w:sz w:val="16"/>
              </w:rPr>
              <w:t>12/06/2026</w:t>
            </w:r>
          </w:p>
        </w:tc>
      </w:tr>
      <w:tr>
        <w:tc>
          <w:tcPr>
            <w:tcW w:type="dxa" w:w="5443"/>
          </w:tcPr>
          <w:p>
            <w:pPr>
              <w:spacing w:after="20" w:before="20"/>
            </w:pPr>
            <w:r/>
            <w:r>
              <w:rPr>
                <w:rFonts w:ascii="Arial" w:hAnsi="Arial"/>
                <w:b w:val="0"/>
                <w:sz w:val="16"/>
              </w:rPr>
              <w:t>Programme hybride de transition</w:t>
            </w:r>
          </w:p>
        </w:tc>
        <w:tc>
          <w:tcPr>
            <w:tcW w:type="dxa" w:w="2041"/>
          </w:tcPr>
          <w:p>
            <w:pPr>
              <w:spacing w:after="20" w:before="20"/>
            </w:pPr>
            <w:r/>
            <w:r>
              <w:rPr>
                <w:rFonts w:ascii="Arial" w:hAnsi="Arial"/>
                <w:b w:val="0"/>
                <w:sz w:val="16"/>
              </w:rPr>
              <w:t>Lot 2.10</w:t>
            </w:r>
          </w:p>
        </w:tc>
        <w:tc>
          <w:tcPr>
            <w:tcW w:type="dxa" w:w="2268"/>
          </w:tcPr>
          <w:p>
            <w:pPr>
              <w:spacing w:after="20" w:before="20"/>
            </w:pPr>
            <w:r/>
            <w:r>
              <w:rPr>
                <w:rFonts w:ascii="Arial" w:hAnsi="Arial"/>
                <w:b w:val="0"/>
                <w:sz w:val="16"/>
              </w:rPr>
              <w:t>19/06/2026</w:t>
            </w:r>
          </w:p>
        </w:tc>
      </w:tr>
      <w:tr>
        <w:tc>
          <w:tcPr>
            <w:tcW w:type="dxa" w:w="5443"/>
          </w:tcPr>
          <w:p>
            <w:pPr>
              <w:spacing w:after="20" w:before="20"/>
            </w:pPr>
            <w:r/>
            <w:r>
              <w:rPr>
                <w:rFonts w:ascii="Arial" w:hAnsi="Arial"/>
                <w:b w:val="0"/>
                <w:sz w:val="16"/>
              </w:rPr>
              <w:t>FormaPlanner, version de collecte</w:t>
            </w:r>
          </w:p>
        </w:tc>
        <w:tc>
          <w:tcPr>
            <w:tcW w:type="dxa" w:w="2041"/>
          </w:tcPr>
          <w:p>
            <w:pPr>
              <w:spacing w:after="20" w:before="20"/>
            </w:pPr>
            <w:r/>
            <w:r>
              <w:rPr>
                <w:rFonts w:ascii="Arial" w:hAnsi="Arial"/>
                <w:b w:val="0"/>
                <w:sz w:val="16"/>
              </w:rPr>
              <w:t>Lot 3.2</w:t>
            </w:r>
          </w:p>
        </w:tc>
        <w:tc>
          <w:tcPr>
            <w:tcW w:type="dxa" w:w="2268"/>
          </w:tcPr>
          <w:p>
            <w:pPr>
              <w:spacing w:after="20" w:before="20"/>
            </w:pPr>
            <w:r/>
            <w:r>
              <w:rPr>
                <w:rFonts w:ascii="Arial" w:hAnsi="Arial"/>
                <w:b w:val="0"/>
                <w:sz w:val="16"/>
              </w:rPr>
              <w:t>15/05/2026</w:t>
            </w:r>
          </w:p>
        </w:tc>
      </w:tr>
      <w:tr>
        <w:tc>
          <w:tcPr>
            <w:tcW w:type="dxa" w:w="5443"/>
          </w:tcPr>
          <w:p>
            <w:pPr>
              <w:spacing w:after="20" w:before="20"/>
            </w:pPr>
            <w:r/>
            <w:r>
              <w:rPr>
                <w:rFonts w:ascii="Arial" w:hAnsi="Arial"/>
                <w:b w:val="0"/>
                <w:sz w:val="16"/>
              </w:rPr>
              <w:t>Données de collecte consolidées</w:t>
            </w:r>
          </w:p>
        </w:tc>
        <w:tc>
          <w:tcPr>
            <w:tcW w:type="dxa" w:w="2041"/>
          </w:tcPr>
          <w:p>
            <w:pPr>
              <w:spacing w:after="20" w:before="20"/>
            </w:pPr>
            <w:r/>
            <w:r>
              <w:rPr>
                <w:rFonts w:ascii="Arial" w:hAnsi="Arial"/>
                <w:b w:val="0"/>
                <w:sz w:val="16"/>
              </w:rPr>
              <w:t>Lot 3.5</w:t>
            </w:r>
          </w:p>
        </w:tc>
        <w:tc>
          <w:tcPr>
            <w:tcW w:type="dxa" w:w="2268"/>
          </w:tcPr>
          <w:p>
            <w:pPr>
              <w:spacing w:after="20" w:before="20"/>
            </w:pPr>
            <w:r/>
            <w:r>
              <w:rPr>
                <w:rFonts w:ascii="Arial" w:hAnsi="Arial"/>
                <w:b w:val="0"/>
                <w:sz w:val="16"/>
              </w:rPr>
              <w:t>30/06/2026</w:t>
            </w:r>
          </w:p>
        </w:tc>
      </w:tr>
      <w:tr>
        <w:tc>
          <w:tcPr>
            <w:tcW w:type="dxa" w:w="5443"/>
          </w:tcPr>
          <w:p>
            <w:pPr>
              <w:spacing w:after="20" w:before="20"/>
            </w:pPr>
            <w:r/>
            <w:r>
              <w:rPr>
                <w:rFonts w:ascii="Arial" w:hAnsi="Arial"/>
                <w:b w:val="0"/>
                <w:sz w:val="16"/>
              </w:rPr>
              <w:t>FormaPlanner, version de planification</w:t>
            </w:r>
          </w:p>
        </w:tc>
        <w:tc>
          <w:tcPr>
            <w:tcW w:type="dxa" w:w="2041"/>
          </w:tcPr>
          <w:p>
            <w:pPr>
              <w:spacing w:after="20" w:before="20"/>
            </w:pPr>
            <w:r/>
            <w:r>
              <w:rPr>
                <w:rFonts w:ascii="Arial" w:hAnsi="Arial"/>
                <w:b w:val="0"/>
                <w:sz w:val="16"/>
              </w:rPr>
              <w:t>Lot 3.6</w:t>
            </w:r>
          </w:p>
        </w:tc>
        <w:tc>
          <w:tcPr>
            <w:tcW w:type="dxa" w:w="2268"/>
          </w:tcPr>
          <w:p>
            <w:pPr>
              <w:spacing w:after="20" w:before="20"/>
            </w:pPr>
            <w:r/>
            <w:r>
              <w:rPr>
                <w:rFonts w:ascii="Arial" w:hAnsi="Arial"/>
                <w:b w:val="0"/>
                <w:sz w:val="16"/>
              </w:rPr>
              <w:t>31/07/2026</w:t>
            </w:r>
          </w:p>
        </w:tc>
      </w:tr>
      <w:tr>
        <w:tc>
          <w:tcPr>
            <w:tcW w:type="dxa" w:w="5443"/>
          </w:tcPr>
          <w:p>
            <w:pPr>
              <w:spacing w:after="20" w:before="20"/>
            </w:pPr>
            <w:r/>
            <w:r>
              <w:rPr>
                <w:rFonts w:ascii="Arial" w:hAnsi="Arial"/>
                <w:b w:val="0"/>
                <w:sz w:val="16"/>
              </w:rPr>
              <w:t>Gabarit et chaîne de production</w:t>
            </w:r>
          </w:p>
        </w:tc>
        <w:tc>
          <w:tcPr>
            <w:tcW w:type="dxa" w:w="2041"/>
          </w:tcPr>
          <w:p>
            <w:pPr>
              <w:spacing w:after="20" w:before="20"/>
            </w:pPr>
            <w:r/>
            <w:r>
              <w:rPr>
                <w:rFonts w:ascii="Arial" w:hAnsi="Arial"/>
                <w:b w:val="0"/>
                <w:sz w:val="16"/>
              </w:rPr>
              <w:t>Lot 4.1</w:t>
            </w:r>
          </w:p>
        </w:tc>
        <w:tc>
          <w:tcPr>
            <w:tcW w:type="dxa" w:w="2268"/>
          </w:tcPr>
          <w:p>
            <w:pPr>
              <w:spacing w:after="20" w:before="20"/>
            </w:pPr>
            <w:r/>
            <w:r>
              <w:rPr>
                <w:rFonts w:ascii="Arial" w:hAnsi="Arial"/>
                <w:b w:val="0"/>
                <w:sz w:val="16"/>
              </w:rPr>
              <w:t>03/07/2026</w:t>
            </w:r>
          </w:p>
        </w:tc>
      </w:tr>
      <w:tr>
        <w:tc>
          <w:tcPr>
            <w:tcW w:type="dxa" w:w="5443"/>
          </w:tcPr>
          <w:p>
            <w:pPr>
              <w:spacing w:after="20" w:before="20"/>
            </w:pPr>
            <w:r/>
            <w:r>
              <w:rPr>
                <w:rFonts w:ascii="Arial" w:hAnsi="Arial"/>
                <w:b w:val="0"/>
                <w:sz w:val="16"/>
              </w:rPr>
              <w:t>Fiches modules B1 Tronc Commun</w:t>
            </w:r>
          </w:p>
        </w:tc>
        <w:tc>
          <w:tcPr>
            <w:tcW w:type="dxa" w:w="2041"/>
          </w:tcPr>
          <w:p>
            <w:pPr>
              <w:spacing w:after="20" w:before="20"/>
            </w:pPr>
            <w:r/>
            <w:r>
              <w:rPr>
                <w:rFonts w:ascii="Arial" w:hAnsi="Arial"/>
                <w:b w:val="0"/>
                <w:sz w:val="16"/>
              </w:rPr>
              <w:t>Lot 4.2</w:t>
            </w:r>
          </w:p>
        </w:tc>
        <w:tc>
          <w:tcPr>
            <w:tcW w:type="dxa" w:w="2268"/>
          </w:tcPr>
          <w:p>
            <w:pPr>
              <w:spacing w:after="20" w:before="20"/>
            </w:pPr>
            <w:r/>
            <w:r>
              <w:rPr>
                <w:rFonts w:ascii="Arial" w:hAnsi="Arial"/>
                <w:b w:val="0"/>
                <w:sz w:val="16"/>
              </w:rPr>
              <w:t>24/07/2026</w:t>
            </w:r>
          </w:p>
        </w:tc>
      </w:tr>
      <w:tr>
        <w:tc>
          <w:tcPr>
            <w:tcW w:type="dxa" w:w="5443"/>
          </w:tcPr>
          <w:p>
            <w:pPr>
              <w:spacing w:after="20" w:before="20"/>
            </w:pPr>
            <w:r/>
            <w:r>
              <w:rPr>
                <w:rFonts w:ascii="Arial" w:hAnsi="Arial"/>
                <w:b w:val="0"/>
                <w:sz w:val="16"/>
              </w:rPr>
              <w:t>Fiches modules B2 des deux filières</w:t>
            </w:r>
          </w:p>
        </w:tc>
        <w:tc>
          <w:tcPr>
            <w:tcW w:type="dxa" w:w="2041"/>
          </w:tcPr>
          <w:p>
            <w:pPr>
              <w:spacing w:after="20" w:before="20"/>
            </w:pPr>
            <w:r/>
            <w:r>
              <w:rPr>
                <w:rFonts w:ascii="Arial" w:hAnsi="Arial"/>
                <w:b w:val="0"/>
                <w:sz w:val="16"/>
              </w:rPr>
              <w:t>Lot 4.3</w:t>
            </w:r>
          </w:p>
        </w:tc>
        <w:tc>
          <w:tcPr>
            <w:tcW w:type="dxa" w:w="2268"/>
          </w:tcPr>
          <w:p>
            <w:pPr>
              <w:spacing w:after="20" w:before="20"/>
            </w:pPr>
            <w:r/>
            <w:r>
              <w:rPr>
                <w:rFonts w:ascii="Arial" w:hAnsi="Arial"/>
                <w:b w:val="0"/>
                <w:sz w:val="16"/>
              </w:rPr>
              <w:t>07/08/2026</w:t>
            </w:r>
          </w:p>
        </w:tc>
      </w:tr>
      <w:tr>
        <w:tc>
          <w:tcPr>
            <w:tcW w:type="dxa" w:w="5443"/>
          </w:tcPr>
          <w:p>
            <w:pPr>
              <w:spacing w:after="20" w:before="20"/>
            </w:pPr>
            <w:r/>
            <w:r>
              <w:rPr>
                <w:rFonts w:ascii="Arial" w:hAnsi="Arial"/>
                <w:b w:val="0"/>
                <w:sz w:val="16"/>
              </w:rPr>
              <w:t>Fiches projet fil rouge</w:t>
            </w:r>
          </w:p>
        </w:tc>
        <w:tc>
          <w:tcPr>
            <w:tcW w:type="dxa" w:w="2041"/>
          </w:tcPr>
          <w:p>
            <w:pPr>
              <w:spacing w:after="20" w:before="20"/>
            </w:pPr>
            <w:r/>
            <w:r>
              <w:rPr>
                <w:rFonts w:ascii="Arial" w:hAnsi="Arial"/>
                <w:b w:val="0"/>
                <w:sz w:val="16"/>
              </w:rPr>
              <w:t>Lot 4.4</w:t>
            </w:r>
          </w:p>
        </w:tc>
        <w:tc>
          <w:tcPr>
            <w:tcW w:type="dxa" w:w="2268"/>
          </w:tcPr>
          <w:p>
            <w:pPr>
              <w:spacing w:after="20" w:before="20"/>
            </w:pPr>
            <w:r/>
            <w:r>
              <w:rPr>
                <w:rFonts w:ascii="Arial" w:hAnsi="Arial"/>
                <w:b w:val="0"/>
                <w:sz w:val="16"/>
              </w:rPr>
              <w:t>31/07/2026</w:t>
            </w:r>
          </w:p>
        </w:tc>
      </w:tr>
      <w:tr>
        <w:tc>
          <w:tcPr>
            <w:tcW w:type="dxa" w:w="5443"/>
          </w:tcPr>
          <w:p>
            <w:pPr>
              <w:spacing w:after="20" w:before="20"/>
            </w:pPr>
            <w:r/>
            <w:r>
              <w:rPr>
                <w:rFonts w:ascii="Arial" w:hAnsi="Arial"/>
                <w:b w:val="0"/>
                <w:sz w:val="16"/>
              </w:rPr>
              <w:t>Rapport de contrôle qualité</w:t>
            </w:r>
          </w:p>
        </w:tc>
        <w:tc>
          <w:tcPr>
            <w:tcW w:type="dxa" w:w="2041"/>
          </w:tcPr>
          <w:p>
            <w:pPr>
              <w:spacing w:after="20" w:before="20"/>
            </w:pPr>
            <w:r/>
            <w:r>
              <w:rPr>
                <w:rFonts w:ascii="Arial" w:hAnsi="Arial"/>
                <w:b w:val="0"/>
                <w:sz w:val="16"/>
              </w:rPr>
              <w:t>Lot 4.6</w:t>
            </w:r>
          </w:p>
        </w:tc>
        <w:tc>
          <w:tcPr>
            <w:tcW w:type="dxa" w:w="2268"/>
          </w:tcPr>
          <w:p>
            <w:pPr>
              <w:spacing w:after="20" w:before="20"/>
            </w:pPr>
            <w:r/>
            <w:r>
              <w:rPr>
                <w:rFonts w:ascii="Arial" w:hAnsi="Arial"/>
                <w:b w:val="0"/>
                <w:sz w:val="16"/>
              </w:rPr>
              <w:t>12/08/2026</w:t>
            </w:r>
          </w:p>
        </w:tc>
      </w:tr>
    </w:tbl>
    <w:p>
      <w:pPr>
        <w:spacing w:before="0" w:after="120"/>
      </w:pPr>
    </w:p>
    <w:p>
      <w:pPr>
        <w:spacing w:before="40" w:after="60"/>
      </w:pPr>
      <w:r>
        <w:rPr>
          <w:rFonts w:ascii="Arial" w:hAnsi="Arial"/>
          <w:b/>
          <w:i w:val="0"/>
          <w:color w:val="1F3864"/>
          <w:sz w:val="20"/>
        </w:rPr>
        <w:t>Livrables remis, validation formelle à venir</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3061"/>
            <w:shd w:val="clear" w:fill="1F3864"/>
          </w:tcPr>
          <w:p>
            <w:pPr>
              <w:spacing w:after="20" w:before="20"/>
            </w:pPr>
            <w:r/>
            <w:r>
              <w:rPr>
                <w:rFonts w:ascii="Arial" w:hAnsi="Arial"/>
                <w:b/>
                <w:color w:val="FFFFFF"/>
                <w:sz w:val="16"/>
              </w:rPr>
              <w:t>Livrable</w:t>
            </w:r>
          </w:p>
        </w:tc>
        <w:tc>
          <w:tcPr>
            <w:tcW w:type="dxa" w:w="1247"/>
            <w:shd w:val="clear" w:fill="1F3864"/>
          </w:tcPr>
          <w:p>
            <w:pPr>
              <w:spacing w:after="20" w:before="20"/>
            </w:pPr>
            <w:r/>
            <w:r>
              <w:rPr>
                <w:rFonts w:ascii="Arial" w:hAnsi="Arial"/>
                <w:b/>
                <w:color w:val="FFFFFF"/>
                <w:sz w:val="16"/>
              </w:rPr>
              <w:t>Lot</w:t>
            </w:r>
          </w:p>
        </w:tc>
        <w:tc>
          <w:tcPr>
            <w:tcW w:type="dxa" w:w="1361"/>
            <w:shd w:val="clear" w:fill="1F3864"/>
          </w:tcPr>
          <w:p>
            <w:pPr>
              <w:spacing w:after="20" w:before="20"/>
            </w:pPr>
            <w:r/>
            <w:r>
              <w:rPr>
                <w:rFonts w:ascii="Arial" w:hAnsi="Arial"/>
                <w:b/>
                <w:color w:val="FFFFFF"/>
                <w:sz w:val="16"/>
              </w:rPr>
              <w:t>Remis le</w:t>
            </w:r>
          </w:p>
        </w:tc>
        <w:tc>
          <w:tcPr>
            <w:tcW w:type="dxa" w:w="4082"/>
            <w:shd w:val="clear" w:fill="1F3864"/>
          </w:tcPr>
          <w:p>
            <w:pPr>
              <w:spacing w:after="20" w:before="20"/>
            </w:pPr>
            <w:r/>
            <w:r>
              <w:rPr>
                <w:rFonts w:ascii="Arial" w:hAnsi="Arial"/>
                <w:b/>
                <w:color w:val="FFFFFF"/>
                <w:sz w:val="16"/>
              </w:rPr>
              <w:t>Ce qui reste à faire</w:t>
            </w:r>
          </w:p>
        </w:tc>
      </w:tr>
      <w:tr>
        <w:tc>
          <w:tcPr>
            <w:tcW w:type="dxa" w:w="3061"/>
          </w:tcPr>
          <w:p>
            <w:pPr>
              <w:spacing w:after="20" w:before="20"/>
            </w:pPr>
            <w:r/>
            <w:r>
              <w:rPr>
                <w:rFonts w:ascii="Arial" w:hAnsi="Arial"/>
                <w:b w:val="0"/>
                <w:sz w:val="16"/>
              </w:rPr>
              <w:t>FormaPlanner en production</w:t>
            </w:r>
          </w:p>
        </w:tc>
        <w:tc>
          <w:tcPr>
            <w:tcW w:type="dxa" w:w="1247"/>
          </w:tcPr>
          <w:p>
            <w:pPr>
              <w:spacing w:after="20" w:before="20"/>
            </w:pPr>
            <w:r/>
            <w:r>
              <w:rPr>
                <w:rFonts w:ascii="Arial" w:hAnsi="Arial"/>
                <w:b w:val="0"/>
                <w:sz w:val="16"/>
              </w:rPr>
              <w:t>Lot 3.7</w:t>
            </w:r>
          </w:p>
        </w:tc>
        <w:tc>
          <w:tcPr>
            <w:tcW w:type="dxa" w:w="1361"/>
          </w:tcPr>
          <w:p>
            <w:pPr>
              <w:spacing w:after="20" w:before="20"/>
            </w:pPr>
            <w:r/>
            <w:r>
              <w:rPr>
                <w:rFonts w:ascii="Arial" w:hAnsi="Arial"/>
                <w:b w:val="0"/>
                <w:sz w:val="16"/>
              </w:rPr>
              <w:t>14/08/2026</w:t>
            </w:r>
          </w:p>
        </w:tc>
        <w:tc>
          <w:tcPr>
            <w:tcW w:type="dxa" w:w="4082"/>
          </w:tcPr>
          <w:p>
            <w:pPr>
              <w:spacing w:after="20" w:before="20"/>
            </w:pPr>
            <w:r/>
            <w:r>
              <w:rPr>
                <w:rFonts w:ascii="Arial" w:hAnsi="Arial"/>
                <w:b w:val="0"/>
                <w:sz w:val="16"/>
              </w:rPr>
              <w:t>Validation formelle après premier usage en service</w:t>
            </w:r>
          </w:p>
        </w:tc>
      </w:tr>
      <w:tr>
        <w:tc>
          <w:tcPr>
            <w:tcW w:type="dxa" w:w="3061"/>
          </w:tcPr>
          <w:p>
            <w:pPr>
              <w:spacing w:after="20" w:before="20"/>
            </w:pPr>
            <w:r/>
            <w:r>
              <w:rPr>
                <w:rFonts w:ascii="Arial" w:hAnsi="Arial"/>
                <w:b w:val="0"/>
                <w:sz w:val="16"/>
              </w:rPr>
              <w:t>Plannings annuels et rubans</w:t>
            </w:r>
          </w:p>
        </w:tc>
        <w:tc>
          <w:tcPr>
            <w:tcW w:type="dxa" w:w="1247"/>
          </w:tcPr>
          <w:p>
            <w:pPr>
              <w:spacing w:after="20" w:before="20"/>
            </w:pPr>
            <w:r/>
            <w:r>
              <w:rPr>
                <w:rFonts w:ascii="Arial" w:hAnsi="Arial"/>
                <w:b w:val="0"/>
                <w:sz w:val="16"/>
              </w:rPr>
              <w:t>Lot 4.7</w:t>
            </w:r>
          </w:p>
        </w:tc>
        <w:tc>
          <w:tcPr>
            <w:tcW w:type="dxa" w:w="1361"/>
          </w:tcPr>
          <w:p>
            <w:pPr>
              <w:spacing w:after="20" w:before="20"/>
            </w:pPr>
            <w:r/>
            <w:r>
              <w:rPr>
                <w:rFonts w:ascii="Arial" w:hAnsi="Arial"/>
                <w:b w:val="0"/>
                <w:sz w:val="16"/>
              </w:rPr>
              <w:t>31/07/2026</w:t>
            </w:r>
          </w:p>
        </w:tc>
        <w:tc>
          <w:tcPr>
            <w:tcW w:type="dxa" w:w="4082"/>
          </w:tcPr>
          <w:p>
            <w:pPr>
              <w:spacing w:after="20" w:before="20"/>
            </w:pPr>
            <w:r/>
            <w:r>
              <w:rPr>
                <w:rFonts w:ascii="Arial" w:hAnsi="Arial"/>
                <w:b w:val="0"/>
                <w:sz w:val="16"/>
              </w:rPr>
              <w:t>Validation formelle après premier usage en service</w:t>
            </w:r>
          </w:p>
        </w:tc>
      </w:tr>
      <w:tr>
        <w:tc>
          <w:tcPr>
            <w:tcW w:type="dxa" w:w="3061"/>
          </w:tcPr>
          <w:p>
            <w:pPr>
              <w:spacing w:after="20" w:before="20"/>
            </w:pPr>
            <w:r/>
            <w:r>
              <w:rPr>
                <w:rFonts w:ascii="Arial" w:hAnsi="Arial"/>
                <w:b w:val="0"/>
                <w:sz w:val="16"/>
              </w:rPr>
              <w:t>Pack de preuves qualité</w:t>
            </w:r>
          </w:p>
        </w:tc>
        <w:tc>
          <w:tcPr>
            <w:tcW w:type="dxa" w:w="1247"/>
          </w:tcPr>
          <w:p>
            <w:pPr>
              <w:spacing w:after="20" w:before="20"/>
            </w:pPr>
            <w:r/>
            <w:r>
              <w:rPr>
                <w:rFonts w:ascii="Arial" w:hAnsi="Arial"/>
                <w:b w:val="0"/>
                <w:sz w:val="16"/>
              </w:rPr>
              <w:t>Lot 4.8</w:t>
            </w:r>
          </w:p>
        </w:tc>
        <w:tc>
          <w:tcPr>
            <w:tcW w:type="dxa" w:w="1361"/>
          </w:tcPr>
          <w:p>
            <w:pPr>
              <w:spacing w:after="20" w:before="20"/>
            </w:pPr>
            <w:r/>
            <w:r>
              <w:rPr>
                <w:rFonts w:ascii="Arial" w:hAnsi="Arial"/>
                <w:b w:val="0"/>
                <w:sz w:val="16"/>
              </w:rPr>
              <w:t>14/08/2026</w:t>
            </w:r>
          </w:p>
        </w:tc>
        <w:tc>
          <w:tcPr>
            <w:tcW w:type="dxa" w:w="4082"/>
          </w:tcPr>
          <w:p>
            <w:pPr>
              <w:spacing w:after="20" w:before="20"/>
            </w:pPr>
            <w:r/>
            <w:r>
              <w:rPr>
                <w:rFonts w:ascii="Arial" w:hAnsi="Arial"/>
                <w:b w:val="0"/>
                <w:sz w:val="16"/>
              </w:rPr>
              <w:t>Validation formelle après premier usage en service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Réserves</w:t>
            </w:r>
          </w:p>
        </w:tc>
      </w:tr>
      <w:tr>
        <w:tc>
          <w:tcPr>
            <w:tcW w:type="dxa" w:w="9752"/>
          </w:tcPr>
          <w:p>
            <w:pPr>
              <w:spacing w:after="60" w:before="20"/>
            </w:pPr>
            <w:r/>
            <w:r>
              <w:rPr>
                <w:rFonts w:ascii="Arial" w:hAnsi="Arial"/>
                <w:b w:val="0"/>
                <w:sz w:val="19"/>
              </w:rPr>
              <w:t>Deux réserves sont portées au présent procès-verbal, toutes deux relatives à des livrables de clôture et sans incidence sur la mise en service.</w:t>
            </w:r>
          </w:p>
          <w:p>
            <w:pPr>
              <w:spacing w:after="60"/>
            </w:pPr>
            <w:r>
              <w:rPr>
                <w:rFonts w:ascii="Arial" w:hAnsi="Arial"/>
                <w:b w:val="0"/>
                <w:sz w:val="19"/>
              </w:rPr>
              <w:t>La première porte sur le plan prévisionnel des besoins en formateurs. Les compétences non couvertes sont identifiées et transmises, mais le plan lui-même n'est pas achevé à la date de réception. Il est attendu pour la rentrée.</w:t>
            </w:r>
          </w:p>
          <w:p>
            <w:pPr>
              <w:spacing w:after="60"/>
            </w:pPr>
            <w:r>
              <w:rPr>
                <w:rFonts w:ascii="Arial" w:hAnsi="Arial"/>
                <w:b w:val="0"/>
                <w:sz w:val="19"/>
              </w:rPr>
              <w:t>La seconde porte sur le bilan de projet, en cours de rédaction à la même date.</w:t>
            </w:r>
          </w:p>
          <w:p>
            <w:pPr>
              <w:spacing w:after="60"/>
            </w:pPr>
            <w:r>
              <w:rPr>
                <w:rFonts w:ascii="Arial" w:hAnsi="Arial"/>
                <w:b w:val="0"/>
                <w:sz w:val="19"/>
              </w:rPr>
              <w:t>Aucune réserve ne porte sur les livrables pédagogiques ni sur l'application : la nouvelle année scolaire démarre avec le référentiel refondu pour les deux premières années.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Remarques et plan d'action associé</w:t>
            </w:r>
          </w:p>
        </w:tc>
      </w:tr>
      <w:tr>
        <w:tc>
          <w:tcPr>
            <w:tcW w:type="dxa" w:w="9752"/>
          </w:tcPr>
          <w:p>
            <w:pPr>
              <w:spacing w:after="60" w:before="20"/>
            </w:pPr>
            <w:r/>
            <w:r>
              <w:rPr>
                <w:rFonts w:ascii="Arial" w:hAnsi="Arial"/>
                <w:b w:val="0"/>
                <w:sz w:val="19"/>
              </w:rPr>
              <w:t>Trois modules du parcours de développement ne trouvent aucun formateur déclarant une maîtrise suffisante. Ce constat, issu de la collecte, ne constitue pas une réserve sur les livrables, qui sont conformes : il porte sur les moyens de leur mise en œuvre. Le recrutement correspondant est engagé et suivi au registre des actions.</w:t>
            </w:r>
          </w:p>
          <w:p>
            <w:pPr>
              <w:spacing w:after="60"/>
            </w:pPr>
            <w:r>
              <w:rPr>
                <w:rFonts w:ascii="Arial" w:hAnsi="Arial"/>
                <w:b w:val="0"/>
                <w:sz w:val="19"/>
              </w:rPr>
              <w:t>Le coût de possession de l'application, hébergement et maintenance, commence à la présente réception et relève désormais du budget de fonctionnement.</w:t>
            </w:r>
          </w:p>
        </w:tc>
      </w:tr>
    </w:tbl>
    <w:p>
      <w:pPr>
        <w:spacing w:before="0" w:after="120"/>
      </w:pPr>
    </w:p>
    <w:p>
      <w:pPr>
        <w:spacing w:before="40" w:after="60"/>
      </w:pPr>
      <w:r>
        <w:rPr>
          <w:rFonts w:ascii="Arial" w:hAnsi="Arial"/>
          <w:b/>
          <w:i w:val="0"/>
          <w:color w:val="1F3864"/>
          <w:sz w:val="20"/>
        </w:rPr>
        <w:t>Approbations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3061"/>
            <w:shd w:val="clear" w:fill="1F3864"/>
          </w:tcPr>
          <w:p>
            <w:pPr>
              <w:spacing w:after="20" w:before="20"/>
            </w:pPr>
            <w:r/>
            <w:r>
              <w:rPr>
                <w:rFonts w:ascii="Arial" w:hAnsi="Arial"/>
                <w:b/>
                <w:color w:val="FFFFFF"/>
                <w:sz w:val="17"/>
              </w:rPr>
              <w:t>Fonction</w:t>
            </w:r>
          </w:p>
        </w:tc>
        <w:tc>
          <w:tcPr>
            <w:tcW w:type="dxa" w:w="4649"/>
            <w:shd w:val="clear" w:fill="1F3864"/>
          </w:tcPr>
          <w:p>
            <w:pPr>
              <w:spacing w:after="20" w:before="20"/>
            </w:pPr>
            <w:r/>
            <w:r>
              <w:rPr>
                <w:rFonts w:ascii="Arial" w:hAnsi="Arial"/>
                <w:b/>
                <w:color w:val="FFFFFF"/>
                <w:sz w:val="17"/>
              </w:rPr>
              <w:t>Au titre de</w:t>
            </w:r>
          </w:p>
        </w:tc>
        <w:tc>
          <w:tcPr>
            <w:tcW w:type="dxa" w:w="1928"/>
            <w:shd w:val="clear" w:fill="1F3864"/>
          </w:tcPr>
          <w:p>
            <w:pPr>
              <w:spacing w:after="20" w:before="20"/>
            </w:pPr>
            <w:r/>
            <w:r>
              <w:rPr>
                <w:rFonts w:ascii="Arial" w:hAnsi="Arial"/>
                <w:b/>
                <w:color w:val="FFFFFF"/>
                <w:sz w:val="17"/>
              </w:rPr>
              <w:t>Date</w:t>
            </w:r>
          </w:p>
        </w:tc>
      </w:tr>
      <w:tr>
        <w:tc>
          <w:tcPr>
            <w:tcW w:type="dxa" w:w="3061"/>
          </w:tcPr>
          <w:p>
            <w:pPr>
              <w:spacing w:after="20" w:before="20"/>
            </w:pPr>
            <w:r/>
            <w:r>
              <w:rPr>
                <w:rFonts w:ascii="Arial" w:hAnsi="Arial"/>
                <w:b w:val="0"/>
                <w:sz w:val="17"/>
              </w:rPr>
              <w:t>Chef de projet</w:t>
            </w:r>
          </w:p>
        </w:tc>
        <w:tc>
          <w:tcPr>
            <w:tcW w:type="dxa" w:w="4649"/>
          </w:tcPr>
          <w:p>
            <w:pPr>
              <w:spacing w:after="20" w:before="20"/>
            </w:pPr>
            <w:r/>
            <w:r>
              <w:rPr>
                <w:rFonts w:ascii="Arial" w:hAnsi="Arial"/>
                <w:b w:val="0"/>
                <w:sz w:val="17"/>
              </w:rPr>
              <w:t>Remise des livrables</w:t>
            </w:r>
          </w:p>
        </w:tc>
        <w:tc>
          <w:tcPr>
            <w:tcW w:type="dxa" w:w="1928"/>
          </w:tcPr>
          <w:p>
            <w:pPr>
              <w:spacing w:after="20" w:before="20"/>
            </w:pPr>
            <w:r/>
            <w:r>
              <w:rPr>
                <w:rFonts w:ascii="Arial" w:hAnsi="Arial"/>
                <w:b w:val="0"/>
                <w:sz w:val="17"/>
              </w:rPr>
              <w:t>21/08/2026</w:t>
            </w:r>
          </w:p>
        </w:tc>
      </w:tr>
      <w:tr>
        <w:tc>
          <w:tcPr>
            <w:tcW w:type="dxa" w:w="3061"/>
          </w:tcPr>
          <w:p>
            <w:pPr>
              <w:spacing w:after="20" w:before="20"/>
            </w:pPr>
            <w:r/>
            <w:r>
              <w:rPr>
                <w:rFonts w:ascii="Arial" w:hAnsi="Arial"/>
                <w:b w:val="0"/>
                <w:sz w:val="17"/>
              </w:rPr>
              <w:t>Responsable pédagogique</w:t>
            </w:r>
          </w:p>
        </w:tc>
        <w:tc>
          <w:tcPr>
            <w:tcW w:type="dxa" w:w="4649"/>
          </w:tcPr>
          <w:p>
            <w:pPr>
              <w:spacing w:after="20" w:before="20"/>
            </w:pPr>
            <w:r/>
            <w:r>
              <w:rPr>
                <w:rFonts w:ascii="Arial" w:hAnsi="Arial"/>
                <w:b w:val="0"/>
                <w:sz w:val="17"/>
              </w:rPr>
              <w:t>Réception pour l'établissement</w:t>
            </w:r>
          </w:p>
        </w:tc>
        <w:tc>
          <w:tcPr>
            <w:tcW w:type="dxa" w:w="1928"/>
          </w:tcPr>
          <w:p>
            <w:pPr>
              <w:spacing w:after="20" w:before="20"/>
            </w:pPr>
            <w:r/>
            <w:r>
              <w:rPr>
                <w:rFonts w:ascii="Arial" w:hAnsi="Arial"/>
                <w:b w:val="0"/>
                <w:sz w:val="17"/>
              </w:rPr>
              <w:t>21/08/2026</w:t>
            </w:r>
          </w:p>
        </w:tc>
      </w:tr>
      <w:tr>
        <w:tc>
          <w:tcPr>
            <w:tcW w:type="dxa" w:w="3061"/>
          </w:tcPr>
          <w:p>
            <w:pPr>
              <w:spacing w:after="20" w:before="20"/>
            </w:pPr>
            <w:r/>
            <w:r>
              <w:rPr>
                <w:rFonts w:ascii="Arial" w:hAnsi="Arial"/>
                <w:b w:val="0"/>
                <w:sz w:val="17"/>
              </w:rPr>
              <w:t>Directeur</w:t>
            </w:r>
          </w:p>
        </w:tc>
        <w:tc>
          <w:tcPr>
            <w:tcW w:type="dxa" w:w="4649"/>
          </w:tcPr>
          <w:p>
            <w:pPr>
              <w:spacing w:after="20" w:before="20"/>
            </w:pPr>
            <w:r/>
            <w:r>
              <w:rPr>
                <w:rFonts w:ascii="Arial" w:hAnsi="Arial"/>
                <w:b w:val="0"/>
                <w:sz w:val="17"/>
              </w:rPr>
              <w:t>Acceptation des réserves</w:t>
            </w:r>
          </w:p>
        </w:tc>
        <w:tc>
          <w:tcPr>
            <w:tcW w:type="dxa" w:w="1928"/>
          </w:tcPr>
          <w:p>
            <w:pPr>
              <w:spacing w:after="20" w:before="20"/>
            </w:pPr>
            <w:r/>
            <w:r>
              <w:rPr>
                <w:rFonts w:ascii="Arial" w:hAnsi="Arial"/>
                <w:b w:val="0"/>
                <w:sz w:val="17"/>
              </w:rPr>
              <w:t>21/08/2026</w:t>
            </w:r>
          </w:p>
        </w:tc>
      </w:tr>
    </w:tbl>
    <w:p>
      <w:pPr>
        <w:spacing w:before="0" w:after="120"/>
      </w:pPr>
    </w:p>
    <w:p>
      <w:pPr>
        <w:spacing w:before="120" w:after="80"/>
      </w:pPr>
      <w:r>
        <w:rPr>
          <w:rFonts w:ascii="Arial" w:hAnsi="Arial"/>
          <w:b w:val="0"/>
          <w:i/>
          <w:color w:val="606060"/>
          <w:sz w:val="18"/>
        </w:rPr>
        <w:t>Fait en deux exemplaires, à Paris, le 21 août 2026.</w:t>
      </w: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Procès-verbal de réception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