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Bilan de projet</w:t>
            </w:r>
          </w:p>
          <w:p>
            <w:pPr>
              <w:spacing w:after="40"/>
              <w:jc w:val="center"/>
            </w:pPr>
            <w:r>
              <w:rPr>
                <w:rFonts w:ascii="Arial" w:hAnsi="Arial"/>
                <w:color w:val="D5DDEC"/>
                <w:sz w:val="20"/>
              </w:rPr>
              <w:t>Écarts, risques, leçons apprises et recommandations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Période couverte</w:t>
            </w:r>
          </w:p>
        </w:tc>
        <w:tc>
          <w:tcPr>
            <w:tcW w:type="dxa" w:w="7143"/>
          </w:tcPr>
          <w:p>
            <w:pPr>
              <w:spacing w:after="40" w:before="20"/>
            </w:pPr>
            <w:r/>
            <w:r>
              <w:rPr>
                <w:rFonts w:ascii="Arial" w:hAnsi="Arial"/>
                <w:b w:val="0"/>
                <w:sz w:val="18"/>
              </w:rPr>
              <w:t>Du 15 décembre 2025 au 21 août 2026</w:t>
            </w:r>
          </w:p>
        </w:tc>
      </w:tr>
      <w:tr>
        <w:tc>
          <w:tcPr>
            <w:tcW w:type="dxa" w:w="2608"/>
            <w:shd w:val="clear" w:fill="EAEFF7"/>
          </w:tcPr>
          <w:p>
            <w:pPr>
              <w:spacing w:after="40" w:before="20"/>
            </w:pPr>
            <w:r/>
            <w:r>
              <w:rPr>
                <w:rFonts w:ascii="Arial" w:hAnsi="Arial"/>
                <w:b/>
                <w:color w:val="1F3864"/>
                <w:sz w:val="18"/>
              </w:rPr>
              <w:t>Chef de projet</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Destinataires</w:t>
            </w:r>
          </w:p>
        </w:tc>
        <w:tc>
          <w:tcPr>
            <w:tcW w:type="dxa" w:w="7143"/>
          </w:tcPr>
          <w:p>
            <w:pPr>
              <w:spacing w:after="40" w:before="20"/>
            </w:pPr>
            <w:r/>
            <w:r>
              <w:rPr>
                <w:rFonts w:ascii="Arial" w:hAnsi="Arial"/>
                <w:b w:val="0"/>
                <w:sz w:val="18"/>
              </w:rPr>
              <w:t>Direction, responsable pédagogique</w:t>
            </w:r>
          </w:p>
        </w:tc>
      </w:tr>
      <w:tr>
        <w:tc>
          <w:tcPr>
            <w:tcW w:type="dxa" w:w="2608"/>
            <w:shd w:val="clear" w:fill="EAEFF7"/>
          </w:tcPr>
          <w:p>
            <w:pPr>
              <w:spacing w:after="40" w:before="20"/>
            </w:pPr>
            <w:r/>
            <w:r>
              <w:rPr>
                <w:rFonts w:ascii="Arial" w:hAnsi="Arial"/>
                <w:b/>
                <w:color w:val="1F3864"/>
                <w:sz w:val="18"/>
              </w:rPr>
              <w:t>Documents joints</w:t>
            </w:r>
          </w:p>
        </w:tc>
        <w:tc>
          <w:tcPr>
            <w:tcW w:type="dxa" w:w="7143"/>
          </w:tcPr>
          <w:p>
            <w:pPr>
              <w:spacing w:after="40" w:before="20"/>
            </w:pPr>
            <w:r/>
            <w:r>
              <w:rPr>
                <w:rFonts w:ascii="Arial" w:hAnsi="Arial"/>
                <w:b w:val="0"/>
                <w:sz w:val="18"/>
              </w:rPr>
              <w:t>Registre de gestion documentaire, tableau de bord, procès-verbal de réception</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V0.9</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Première trame, à la livraison des derniers documents</w:t>
            </w:r>
          </w:p>
        </w:tc>
        <w:tc>
          <w:tcPr>
            <w:tcW w:type="dxa" w:w="1701"/>
          </w:tcPr>
          <w:p>
            <w:pPr>
              <w:spacing w:after="40" w:before="20"/>
            </w:pPr>
            <w:r/>
            <w:r>
              <w:rPr>
                <w:rFonts w:ascii="Arial" w:hAnsi="Arial"/>
                <w:b w:val="0"/>
                <w:sz w:val="18"/>
              </w:rPr>
              <w:t>14/08/2026</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Bilan complet : écarts, risques, leçons apprises</w:t>
            </w:r>
          </w:p>
        </w:tc>
        <w:tc>
          <w:tcPr>
            <w:tcW w:type="dxa" w:w="1701"/>
          </w:tcPr>
          <w:p>
            <w:pPr>
              <w:spacing w:after="40" w:before="20"/>
            </w:pPr>
            <w:r/>
            <w:r>
              <w:rPr>
                <w:rFonts w:ascii="Arial" w:hAnsi="Arial"/>
                <w:b w:val="0"/>
                <w:sz w:val="18"/>
              </w:rPr>
              <w:t>21/08/2026</w:t>
            </w:r>
          </w:p>
        </w:tc>
      </w:tr>
    </w:tbl>
    <w:p>
      <w:pPr>
        <w:spacing w:before="0" w:after="120"/>
      </w:pPr>
    </w:p>
    <w:p>
      <w:pPr>
        <w:spacing w:before="200" w:after="80"/>
      </w:pPr>
      <w:r>
        <w:rPr>
          <w:rFonts w:ascii="Arial" w:hAnsi="Arial"/>
          <w:b/>
          <w:i w:val="0"/>
          <w:color w:val="1F3864"/>
          <w:sz w:val="25"/>
        </w:rPr>
        <w:t>1.  Ce que le projet a produit</w:t>
      </w:r>
    </w:p>
    <w:p>
      <w:pPr>
        <w:spacing w:before="0" w:after="100"/>
      </w:pPr>
      <w:r>
        <w:rPr>
          <w:rFonts w:ascii="Arial" w:hAnsi="Arial"/>
          <w:b w:val="0"/>
          <w:i w:val="0"/>
          <w:color w:val="212121"/>
          <w:sz w:val="19"/>
        </w:rPr>
        <w:t>Le projet devait doter les deux premières années d'un appareil pédagogique complet, aligné sur les compétences exigées en fin de cycle, et outiller le pilotage de sa mise en œuvre. Les deux chantiers sont livrés : les référentiels, les fiches modules et les fiches projet fil rouge, les matrices de couverture, l'ordonnancement, les plannings et le règlement d'une part ; l'application de collecte, de consolidation et de planification d'autre part. La nouvelle année scolaire démarre avec ce référentiel.</w:t>
      </w:r>
    </w:p>
    <w:p>
      <w:pPr>
        <w:spacing w:before="200" w:after="80"/>
      </w:pPr>
      <w:r>
        <w:rPr>
          <w:rFonts w:ascii="Arial" w:hAnsi="Arial"/>
          <w:b/>
          <w:i w:val="0"/>
          <w:color w:val="1F3864"/>
          <w:sz w:val="25"/>
        </w:rPr>
        <w:t>2.  Analyse des écarts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2721"/>
            <w:shd w:val="clear" w:fill="1F3864"/>
          </w:tcPr>
          <w:p>
            <w:pPr>
              <w:spacing w:after="20" w:before="20"/>
            </w:pPr>
            <w:r/>
            <w:r>
              <w:rPr>
                <w:rFonts w:ascii="Arial" w:hAnsi="Arial"/>
                <w:b/>
                <w:color w:val="FFFFFF"/>
                <w:sz w:val="17"/>
              </w:rPr>
              <w:t>Question</w:t>
            </w:r>
          </w:p>
        </w:tc>
        <w:tc>
          <w:tcPr>
            <w:tcW w:type="dxa" w:w="1928"/>
            <w:shd w:val="clear" w:fill="1F3864"/>
          </w:tcPr>
          <w:p>
            <w:pPr>
              <w:spacing w:after="20" w:before="20"/>
            </w:pPr>
            <w:r/>
            <w:r>
              <w:rPr>
                <w:rFonts w:ascii="Arial" w:hAnsi="Arial"/>
                <w:b/>
                <w:color w:val="FFFFFF"/>
                <w:sz w:val="17"/>
              </w:rPr>
              <w:t>Réponse</w:t>
            </w:r>
          </w:p>
        </w:tc>
        <w:tc>
          <w:tcPr>
            <w:tcW w:type="dxa" w:w="5102"/>
            <w:shd w:val="clear" w:fill="1F3864"/>
          </w:tcPr>
          <w:p>
            <w:pPr>
              <w:spacing w:after="20" w:before="20"/>
            </w:pPr>
            <w:r/>
            <w:r>
              <w:rPr>
                <w:rFonts w:ascii="Arial" w:hAnsi="Arial"/>
                <w:b/>
                <w:color w:val="FFFFFF"/>
                <w:sz w:val="17"/>
              </w:rPr>
              <w:t>Commentaire</w:t>
            </w:r>
          </w:p>
        </w:tc>
      </w:tr>
      <w:tr>
        <w:tc>
          <w:tcPr>
            <w:tcW w:type="dxa" w:w="2721"/>
          </w:tcPr>
          <w:p>
            <w:pPr>
              <w:spacing w:after="20" w:before="20"/>
            </w:pPr>
            <w:r/>
            <w:r>
              <w:rPr>
                <w:rFonts w:ascii="Arial" w:hAnsi="Arial"/>
                <w:b w:val="0"/>
                <w:sz w:val="17"/>
              </w:rPr>
              <w:t>Les livrables ont-ils tous été remis ?</w:t>
            </w:r>
          </w:p>
        </w:tc>
        <w:tc>
          <w:tcPr>
            <w:tcW w:type="dxa" w:w="1928"/>
          </w:tcPr>
          <w:p>
            <w:pPr>
              <w:spacing w:after="20" w:before="20"/>
            </w:pPr>
            <w:r/>
            <w:r>
              <w:rPr>
                <w:rFonts w:ascii="Arial" w:hAnsi="Arial"/>
                <w:b w:val="0"/>
                <w:sz w:val="17"/>
              </w:rPr>
              <w:t>Oui, à deux exceptions près</w:t>
            </w:r>
          </w:p>
        </w:tc>
        <w:tc>
          <w:tcPr>
            <w:tcW w:type="dxa" w:w="5102"/>
          </w:tcPr>
          <w:p>
            <w:pPr>
              <w:spacing w:after="20" w:before="20"/>
            </w:pPr>
            <w:r/>
            <w:r>
              <w:rPr>
                <w:rFonts w:ascii="Arial" w:hAnsi="Arial"/>
                <w:b w:val="0"/>
                <w:sz w:val="17"/>
              </w:rPr>
              <w:t>Le plan de recrutement et le présent bilan sont des livrables de clôture, remis après la mise en service</w:t>
            </w:r>
          </w:p>
        </w:tc>
      </w:tr>
      <w:tr>
        <w:tc>
          <w:tcPr>
            <w:tcW w:type="dxa" w:w="2721"/>
          </w:tcPr>
          <w:p>
            <w:pPr>
              <w:spacing w:after="20" w:before="20"/>
            </w:pPr>
            <w:r/>
            <w:r>
              <w:rPr>
                <w:rFonts w:ascii="Arial" w:hAnsi="Arial"/>
                <w:b w:val="0"/>
                <w:sz w:val="17"/>
              </w:rPr>
              <w:t>Les objectifs ont-ils été atteints ?</w:t>
            </w:r>
          </w:p>
        </w:tc>
        <w:tc>
          <w:tcPr>
            <w:tcW w:type="dxa" w:w="1928"/>
          </w:tcPr>
          <w:p>
            <w:pPr>
              <w:spacing w:after="20" w:before="20"/>
            </w:pPr>
            <w:r/>
            <w:r>
              <w:rPr>
                <w:rFonts w:ascii="Arial" w:hAnsi="Arial"/>
                <w:b w:val="0"/>
                <w:sz w:val="17"/>
              </w:rPr>
              <w:t>Oui</w:t>
            </w:r>
          </w:p>
        </w:tc>
        <w:tc>
          <w:tcPr>
            <w:tcW w:type="dxa" w:w="5102"/>
          </w:tcPr>
          <w:p>
            <w:pPr>
              <w:spacing w:after="20" w:before="20"/>
            </w:pPr>
            <w:r/>
            <w:r>
              <w:rPr>
                <w:rFonts w:ascii="Arial" w:hAnsi="Arial"/>
                <w:b w:val="0"/>
                <w:sz w:val="17"/>
              </w:rPr>
              <w:t>Couverture intégrale des compétences de fin de cycle, aucune rupture de prérequis, appareil documentaire complet, application en service</w:t>
            </w:r>
          </w:p>
        </w:tc>
      </w:tr>
      <w:tr>
        <w:tc>
          <w:tcPr>
            <w:tcW w:type="dxa" w:w="2721"/>
          </w:tcPr>
          <w:p>
            <w:pPr>
              <w:spacing w:after="20" w:before="20"/>
            </w:pPr>
            <w:r/>
            <w:r>
              <w:rPr>
                <w:rFonts w:ascii="Arial" w:hAnsi="Arial"/>
                <w:b w:val="0"/>
                <w:sz w:val="17"/>
              </w:rPr>
              <w:t>La date de fin a-t-elle été tenue ?</w:t>
            </w:r>
          </w:p>
        </w:tc>
        <w:tc>
          <w:tcPr>
            <w:tcW w:type="dxa" w:w="1928"/>
          </w:tcPr>
          <w:p>
            <w:pPr>
              <w:spacing w:after="20" w:before="20"/>
            </w:pPr>
            <w:r/>
            <w:r>
              <w:rPr>
                <w:rFonts w:ascii="Arial" w:hAnsi="Arial"/>
                <w:b w:val="0"/>
                <w:sz w:val="17"/>
              </w:rPr>
              <w:t>Non sur le prévu, oui sur le butoir</w:t>
            </w:r>
          </w:p>
        </w:tc>
        <w:tc>
          <w:tcPr>
            <w:tcW w:type="dxa" w:w="5102"/>
          </w:tcPr>
          <w:p>
            <w:pPr>
              <w:spacing w:after="20" w:before="20"/>
            </w:pPr>
            <w:r/>
            <w:r>
              <w:rPr>
                <w:rFonts w:ascii="Arial" w:hAnsi="Arial"/>
                <w:b w:val="0"/>
                <w:sz w:val="17"/>
              </w:rPr>
              <w:t>Fin prévue en juillet, atteinte à la mi-août ; la rentrée, seule date intangible, est tenue</w:t>
            </w:r>
          </w:p>
        </w:tc>
      </w:tr>
      <w:tr>
        <w:tc>
          <w:tcPr>
            <w:tcW w:type="dxa" w:w="2721"/>
          </w:tcPr>
          <w:p>
            <w:pPr>
              <w:spacing w:after="20" w:before="20"/>
            </w:pPr>
            <w:r/>
            <w:r>
              <w:rPr>
                <w:rFonts w:ascii="Arial" w:hAnsi="Arial"/>
                <w:b w:val="0"/>
                <w:sz w:val="17"/>
              </w:rPr>
              <w:t>Le coût a-t-il été respecté ?</w:t>
            </w:r>
          </w:p>
        </w:tc>
        <w:tc>
          <w:tcPr>
            <w:tcW w:type="dxa" w:w="1928"/>
          </w:tcPr>
          <w:p>
            <w:pPr>
              <w:spacing w:after="20" w:before="20"/>
            </w:pPr>
            <w:r/>
            <w:r>
              <w:rPr>
                <w:rFonts w:ascii="Arial" w:hAnsi="Arial"/>
                <w:b w:val="0"/>
                <w:sz w:val="17"/>
              </w:rPr>
              <w:t>Oui sur les décaissements</w:t>
            </w:r>
          </w:p>
        </w:tc>
        <w:tc>
          <w:tcPr>
            <w:tcW w:type="dxa" w:w="5102"/>
          </w:tcPr>
          <w:p>
            <w:pPr>
              <w:spacing w:after="20" w:before="20"/>
            </w:pPr>
            <w:r/>
            <w:r>
              <w:rPr>
                <w:rFonts w:ascii="Arial" w:hAnsi="Arial"/>
                <w:b w:val="0"/>
                <w:sz w:val="17"/>
              </w:rPr>
              <w:t>Les coûts directs restent conformes ; l'écart porte entièrement sur la charge interne</w:t>
            </w:r>
          </w:p>
        </w:tc>
      </w:tr>
      <w:tr>
        <w:tc>
          <w:tcPr>
            <w:tcW w:type="dxa" w:w="2721"/>
          </w:tcPr>
          <w:p>
            <w:pPr>
              <w:spacing w:after="20" w:before="20"/>
            </w:pPr>
            <w:r/>
            <w:r>
              <w:rPr>
                <w:rFonts w:ascii="Arial" w:hAnsi="Arial"/>
                <w:b w:val="0"/>
                <w:sz w:val="17"/>
              </w:rPr>
              <w:t>Les charges ont-elles été respectées ?</w:t>
            </w:r>
          </w:p>
        </w:tc>
        <w:tc>
          <w:tcPr>
            <w:tcW w:type="dxa" w:w="1928"/>
          </w:tcPr>
          <w:p>
            <w:pPr>
              <w:spacing w:after="20" w:before="20"/>
            </w:pPr>
            <w:r/>
            <w:r>
              <w:rPr>
                <w:rFonts w:ascii="Arial" w:hAnsi="Arial"/>
                <w:b w:val="0"/>
                <w:sz w:val="17"/>
              </w:rPr>
              <w:t>Non</w:t>
            </w:r>
          </w:p>
        </w:tc>
        <w:tc>
          <w:tcPr>
            <w:tcW w:type="dxa" w:w="5102"/>
          </w:tcPr>
          <w:p>
            <w:pPr>
              <w:spacing w:after="20" w:before="20"/>
            </w:pPr>
            <w:r/>
            <w:r>
              <w:rPr>
                <w:rFonts w:ascii="Arial" w:hAnsi="Arial"/>
                <w:b w:val="0"/>
                <w:sz w:val="17"/>
              </w:rPr>
              <w:t>La charge consommée vaut environ le double de la charge budgétée, l'écart étant absorbé par du temps hors contrat</w:t>
            </w:r>
          </w:p>
        </w:tc>
      </w:tr>
      <w:tr>
        <w:tc>
          <w:tcPr>
            <w:tcW w:type="dxa" w:w="2721"/>
          </w:tcPr>
          <w:p>
            <w:pPr>
              <w:spacing w:after="20" w:before="20"/>
            </w:pPr>
            <w:r/>
            <w:r>
              <w:rPr>
                <w:rFonts w:ascii="Arial" w:hAnsi="Arial"/>
                <w:b w:val="0"/>
                <w:sz w:val="17"/>
              </w:rPr>
              <w:t>Le périmètre a-t-il évolué ?</w:t>
            </w:r>
          </w:p>
        </w:tc>
        <w:tc>
          <w:tcPr>
            <w:tcW w:type="dxa" w:w="1928"/>
          </w:tcPr>
          <w:p>
            <w:pPr>
              <w:spacing w:after="20" w:before="20"/>
            </w:pPr>
            <w:r/>
            <w:r>
              <w:rPr>
                <w:rFonts w:ascii="Arial" w:hAnsi="Arial"/>
                <w:b w:val="0"/>
                <w:sz w:val="17"/>
              </w:rPr>
              <w:t>Oui, à la hausse</w:t>
            </w:r>
          </w:p>
        </w:tc>
        <w:tc>
          <w:tcPr>
            <w:tcW w:type="dxa" w:w="5102"/>
          </w:tcPr>
          <w:p>
            <w:pPr>
              <w:spacing w:after="20" w:before="20"/>
            </w:pPr>
            <w:r/>
            <w:r>
              <w:rPr>
                <w:rFonts w:ascii="Arial" w:hAnsi="Arial"/>
                <w:b w:val="0"/>
                <w:sz w:val="17"/>
              </w:rPr>
              <w:t>Six demandes de changement acceptées, dont le passage de cinquante fiches environ à quatre-vingt-quatre</w:t>
            </w:r>
          </w:p>
        </w:tc>
      </w:tr>
    </w:tbl>
    <w:p>
      <w:pPr>
        <w:spacing w:before="0" w:after="120"/>
      </w:pPr>
    </w:p>
    <w:p>
      <w:pPr>
        <w:spacing w:before="200" w:after="80"/>
      </w:pPr>
      <w:r>
        <w:rPr>
          <w:rFonts w:ascii="Arial" w:hAnsi="Arial"/>
          <w:b/>
          <w:i w:val="0"/>
          <w:color w:val="1F3864"/>
          <w:sz w:val="25"/>
        </w:rPr>
        <w:t>3.  Retour sur les risques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2494"/>
            <w:shd w:val="clear" w:fill="1F3864"/>
          </w:tcPr>
          <w:p>
            <w:pPr>
              <w:spacing w:after="20" w:before="20"/>
            </w:pPr>
            <w:r/>
            <w:r>
              <w:rPr>
                <w:rFonts w:ascii="Arial" w:hAnsi="Arial"/>
                <w:b/>
                <w:color w:val="FFFFFF"/>
                <w:sz w:val="16"/>
              </w:rPr>
              <w:t>Risque anticipé</w:t>
            </w:r>
          </w:p>
        </w:tc>
        <w:tc>
          <w:tcPr>
            <w:tcW w:type="dxa" w:w="3628"/>
            <w:shd w:val="clear" w:fill="1F3864"/>
          </w:tcPr>
          <w:p>
            <w:pPr>
              <w:spacing w:after="20" w:before="20"/>
            </w:pPr>
            <w:r/>
            <w:r>
              <w:rPr>
                <w:rFonts w:ascii="Arial" w:hAnsi="Arial"/>
                <w:b/>
                <w:color w:val="FFFFFF"/>
                <w:sz w:val="16"/>
              </w:rPr>
              <w:t>Ce qui s'est produit</w:t>
            </w:r>
          </w:p>
        </w:tc>
        <w:tc>
          <w:tcPr>
            <w:tcW w:type="dxa" w:w="3628"/>
            <w:shd w:val="clear" w:fill="1F3864"/>
          </w:tcPr>
          <w:p>
            <w:pPr>
              <w:spacing w:after="20" w:before="20"/>
            </w:pPr>
            <w:r/>
            <w:r>
              <w:rPr>
                <w:rFonts w:ascii="Arial" w:hAnsi="Arial"/>
                <w:b/>
                <w:color w:val="FFFFFF"/>
                <w:sz w:val="16"/>
              </w:rPr>
              <w:t>Enseignement</w:t>
            </w:r>
          </w:p>
        </w:tc>
      </w:tr>
      <w:tr>
        <w:tc>
          <w:tcPr>
            <w:tcW w:type="dxa" w:w="2494"/>
          </w:tcPr>
          <w:p>
            <w:pPr>
              <w:spacing w:after="20" w:before="20"/>
            </w:pPr>
            <w:r/>
            <w:r>
              <w:rPr>
                <w:rFonts w:ascii="Arial" w:hAnsi="Arial"/>
                <w:b w:val="0"/>
                <w:sz w:val="16"/>
              </w:rPr>
              <w:t>Non-appropriation du cadre par les formateurs</w:t>
            </w:r>
          </w:p>
        </w:tc>
        <w:tc>
          <w:tcPr>
            <w:tcW w:type="dxa" w:w="3628"/>
          </w:tcPr>
          <w:p>
            <w:pPr>
              <w:spacing w:after="20" w:before="20"/>
            </w:pPr>
            <w:r/>
            <w:r>
              <w:rPr>
                <w:rFonts w:ascii="Arial" w:hAnsi="Arial"/>
                <w:b w:val="0"/>
                <w:sz w:val="16"/>
              </w:rPr>
              <w:t>Résistances au démarrage, levées par la consultation individuelle et l'intégration des contenus existants</w:t>
            </w:r>
          </w:p>
        </w:tc>
        <w:tc>
          <w:tcPr>
            <w:tcW w:type="dxa" w:w="3628"/>
          </w:tcPr>
          <w:p>
            <w:pPr>
              <w:spacing w:after="20" w:before="20"/>
            </w:pPr>
            <w:r/>
            <w:r>
              <w:rPr>
                <w:rFonts w:ascii="Arial" w:hAnsi="Arial"/>
                <w:b w:val="0"/>
                <w:sz w:val="16"/>
              </w:rPr>
              <w:t>La réponse n'était pas managériale mais éditoriale : partir de leur matière plutôt que de la remplacer</w:t>
            </w:r>
          </w:p>
        </w:tc>
      </w:tr>
      <w:tr>
        <w:tc>
          <w:tcPr>
            <w:tcW w:type="dxa" w:w="2494"/>
          </w:tcPr>
          <w:p>
            <w:pPr>
              <w:spacing w:after="20" w:before="20"/>
            </w:pPr>
            <w:r/>
            <w:r>
              <w:rPr>
                <w:rFonts w:ascii="Arial" w:hAnsi="Arial"/>
                <w:b w:val="0"/>
                <w:sz w:val="16"/>
              </w:rPr>
              <w:t>Retard de production faute de temps</w:t>
            </w:r>
          </w:p>
        </w:tc>
        <w:tc>
          <w:tcPr>
            <w:tcW w:type="dxa" w:w="3628"/>
          </w:tcPr>
          <w:p>
            <w:pPr>
              <w:spacing w:after="20" w:before="20"/>
            </w:pPr>
            <w:r/>
            <w:r>
              <w:rPr>
                <w:rFonts w:ascii="Arial" w:hAnsi="Arial"/>
                <w:b w:val="0"/>
                <w:sz w:val="16"/>
              </w:rPr>
              <w:t>Retard d'un mois et demi sur le prévu, sans conséquence sur la rentrée</w:t>
            </w:r>
          </w:p>
        </w:tc>
        <w:tc>
          <w:tcPr>
            <w:tcW w:type="dxa" w:w="3628"/>
          </w:tcPr>
          <w:p>
            <w:pPr>
              <w:spacing w:after="20" w:before="20"/>
            </w:pPr>
            <w:r/>
            <w:r>
              <w:rPr>
                <w:rFonts w:ascii="Arial" w:hAnsi="Arial"/>
                <w:b w:val="0"/>
                <w:sz w:val="16"/>
              </w:rPr>
              <w:t>La priorisation séquentielle a joué son rôle : la première année d'abord, le reste ensuite</w:t>
            </w:r>
          </w:p>
        </w:tc>
      </w:tr>
      <w:tr>
        <w:tc>
          <w:tcPr>
            <w:tcW w:type="dxa" w:w="2494"/>
          </w:tcPr>
          <w:p>
            <w:pPr>
              <w:spacing w:after="20" w:before="20"/>
            </w:pPr>
            <w:r/>
            <w:r>
              <w:rPr>
                <w:rFonts w:ascii="Arial" w:hAnsi="Arial"/>
                <w:b w:val="0"/>
                <w:sz w:val="16"/>
              </w:rPr>
              <w:t>Sous-estimation du périmètre</w:t>
            </w:r>
          </w:p>
        </w:tc>
        <w:tc>
          <w:tcPr>
            <w:tcW w:type="dxa" w:w="3628"/>
          </w:tcPr>
          <w:p>
            <w:pPr>
              <w:spacing w:after="20" w:before="20"/>
            </w:pPr>
            <w:r/>
            <w:r>
              <w:rPr>
                <w:rFonts w:ascii="Arial" w:hAnsi="Arial"/>
                <w:b w:val="0"/>
                <w:sz w:val="16"/>
              </w:rPr>
              <w:t>Réalisé, et dans des proportions importantes</w:t>
            </w:r>
          </w:p>
        </w:tc>
        <w:tc>
          <w:tcPr>
            <w:tcW w:type="dxa" w:w="3628"/>
          </w:tcPr>
          <w:p>
            <w:pPr>
              <w:spacing w:after="20" w:before="20"/>
            </w:pPr>
            <w:r/>
            <w:r>
              <w:rPr>
                <w:rFonts w:ascii="Arial" w:hAnsi="Arial"/>
                <w:b w:val="0"/>
                <w:sz w:val="16"/>
              </w:rPr>
              <w:t>Le recensement aurait dû précéder l'engagement, pas le suivre</w:t>
            </w:r>
          </w:p>
        </w:tc>
      </w:tr>
      <w:tr>
        <w:tc>
          <w:tcPr>
            <w:tcW w:type="dxa" w:w="2494"/>
          </w:tcPr>
          <w:p>
            <w:pPr>
              <w:spacing w:after="20" w:before="20"/>
            </w:pPr>
            <w:r/>
            <w:r>
              <w:rPr>
                <w:rFonts w:ascii="Arial" w:hAnsi="Arial"/>
                <w:b w:val="0"/>
                <w:sz w:val="16"/>
              </w:rPr>
              <w:t>Programme vendu avant d'être conçu</w:t>
            </w:r>
          </w:p>
        </w:tc>
        <w:tc>
          <w:tcPr>
            <w:tcW w:type="dxa" w:w="3628"/>
          </w:tcPr>
          <w:p>
            <w:pPr>
              <w:spacing w:after="20" w:before="20"/>
            </w:pPr>
            <w:r/>
            <w:r>
              <w:rPr>
                <w:rFonts w:ascii="Arial" w:hAnsi="Arial"/>
                <w:b w:val="0"/>
                <w:sz w:val="16"/>
              </w:rPr>
              <w:t>Réalisé, contrainte subie sans marge</w:t>
            </w:r>
          </w:p>
        </w:tc>
        <w:tc>
          <w:tcPr>
            <w:tcW w:type="dxa" w:w="3628"/>
          </w:tcPr>
          <w:p>
            <w:pPr>
              <w:spacing w:after="20" w:before="20"/>
            </w:pPr>
            <w:r/>
            <w:r>
              <w:rPr>
                <w:rFonts w:ascii="Arial" w:hAnsi="Arial"/>
                <w:b w:val="0"/>
                <w:sz w:val="16"/>
              </w:rPr>
              <w:t>Une date commerciale ne se négocie pas : elle se planifie à rebours</w:t>
            </w:r>
          </w:p>
        </w:tc>
      </w:tr>
      <w:tr>
        <w:tc>
          <w:tcPr>
            <w:tcW w:type="dxa" w:w="2494"/>
          </w:tcPr>
          <w:p>
            <w:pPr>
              <w:spacing w:after="20" w:before="20"/>
            </w:pPr>
            <w:r/>
            <w:r>
              <w:rPr>
                <w:rFonts w:ascii="Arial" w:hAnsi="Arial"/>
                <w:b w:val="0"/>
                <w:sz w:val="16"/>
              </w:rPr>
              <w:t>Concentration sur une personne unique</w:t>
            </w:r>
          </w:p>
        </w:tc>
        <w:tc>
          <w:tcPr>
            <w:tcW w:type="dxa" w:w="3628"/>
          </w:tcPr>
          <w:p>
            <w:pPr>
              <w:spacing w:after="20" w:before="20"/>
            </w:pPr>
            <w:r/>
            <w:r>
              <w:rPr>
                <w:rFonts w:ascii="Arial" w:hAnsi="Arial"/>
                <w:b w:val="0"/>
                <w:sz w:val="16"/>
              </w:rPr>
              <w:t>Non réalisé, mais la vulnérabilité a existé tout du long</w:t>
            </w:r>
          </w:p>
        </w:tc>
        <w:tc>
          <w:tcPr>
            <w:tcW w:type="dxa" w:w="3628"/>
          </w:tcPr>
          <w:p>
            <w:pPr>
              <w:spacing w:after="20" w:before="20"/>
            </w:pPr>
            <w:r/>
            <w:r>
              <w:rPr>
                <w:rFonts w:ascii="Arial" w:hAnsi="Arial"/>
                <w:b w:val="0"/>
                <w:sz w:val="16"/>
              </w:rPr>
              <w:t>L'outillage et la traçabilité ont réduit le risque sans le supprimer</w:t>
            </w:r>
          </w:p>
        </w:tc>
      </w:tr>
      <w:tr>
        <w:tc>
          <w:tcPr>
            <w:tcW w:type="dxa" w:w="2494"/>
          </w:tcPr>
          <w:p>
            <w:pPr>
              <w:spacing w:after="20" w:before="20"/>
            </w:pPr>
            <w:r/>
            <w:r>
              <w:rPr>
                <w:rFonts w:ascii="Arial" w:hAnsi="Arial"/>
                <w:b w:val="0"/>
                <w:sz w:val="16"/>
              </w:rPr>
              <w:t>Compétences manquantes dans l'équipe</w:t>
            </w:r>
          </w:p>
        </w:tc>
        <w:tc>
          <w:tcPr>
            <w:tcW w:type="dxa" w:w="3628"/>
          </w:tcPr>
          <w:p>
            <w:pPr>
              <w:spacing w:after="20" w:before="20"/>
            </w:pPr>
            <w:r/>
            <w:r>
              <w:rPr>
                <w:rFonts w:ascii="Arial" w:hAnsi="Arial"/>
                <w:b w:val="0"/>
                <w:sz w:val="16"/>
              </w:rPr>
              <w:t>Réalisé : trois modules sans formateur qualifié</w:t>
            </w:r>
          </w:p>
        </w:tc>
        <w:tc>
          <w:tcPr>
            <w:tcW w:type="dxa" w:w="3628"/>
          </w:tcPr>
          <w:p>
            <w:pPr>
              <w:spacing w:after="20" w:before="20"/>
            </w:pPr>
            <w:r/>
            <w:r>
              <w:rPr>
                <w:rFonts w:ascii="Arial" w:hAnsi="Arial"/>
                <w:b w:val="0"/>
                <w:sz w:val="16"/>
              </w:rPr>
              <w:t>La collecte a révélé un problème que personne ne voyait avant</w:t>
            </w:r>
          </w:p>
        </w:tc>
      </w:tr>
    </w:tbl>
    <w:p>
      <w:pPr>
        <w:spacing w:before="0" w:after="120"/>
      </w:pPr>
    </w:p>
    <w:p>
      <w:pPr>
        <w:spacing w:before="200" w:after="80"/>
      </w:pPr>
      <w:r>
        <w:rPr>
          <w:rFonts w:ascii="Arial" w:hAnsi="Arial"/>
          <w:b/>
          <w:i w:val="0"/>
          <w:color w:val="1F3864"/>
          <w:sz w:val="25"/>
        </w:rPr>
        <w:t>4.  Impacts imprévus</w:t>
      </w:r>
    </w:p>
    <w:p>
      <w:pPr>
        <w:spacing w:before="0" w:after="100"/>
      </w:pPr>
      <w:r>
        <w:rPr>
          <w:rFonts w:ascii="Arial" w:hAnsi="Arial"/>
          <w:b w:val="0"/>
          <w:i w:val="0"/>
          <w:color w:val="212121"/>
          <w:sz w:val="19"/>
        </w:rPr>
        <w:t>Deux effets n'avaient pas été anticipés. Le premier est favorable : l'application, conçue pour ce seul projet, s'est révélée utile au-delà de son périmètre, puisqu'elle sert désormais l'ensemble des filières de l'établissement et non les seules deux années visées. Le second l'est moins : l'implication de la responsable pédagogique a presque doublé par rapport au prévu, au point que son propre engagement mérite d'être signalé comme une condition de réussite non budgétée.</w:t>
      </w:r>
    </w:p>
    <w:p>
      <w:pPr>
        <w:spacing w:before="200" w:after="80"/>
      </w:pPr>
      <w:r>
        <w:rPr>
          <w:rFonts w:ascii="Arial" w:hAnsi="Arial"/>
          <w:b/>
          <w:i w:val="0"/>
          <w:color w:val="1F3864"/>
          <w:sz w:val="25"/>
        </w:rPr>
        <w:t>5.  Après la mise en service</w:t>
      </w:r>
    </w:p>
    <w:p>
      <w:pPr>
        <w:spacing w:before="0" w:after="100"/>
      </w:pPr>
      <w:r>
        <w:rPr>
          <w:rFonts w:ascii="Arial" w:hAnsi="Arial"/>
          <w:b w:val="0"/>
          <w:i w:val="0"/>
          <w:color w:val="212121"/>
          <w:sz w:val="19"/>
        </w:rPr>
        <w:t>Trois travaux commencent à la clôture et ne relèvent plus du projet. Le recrutement des formateurs pour les modules non couverts, engagé et suivi. La maintenance de l'application et son hébergement, qui appellent une ligne au budget de fonctionnement. Et la révision annuelle du référentiel, recommandée par le certificateur, qui suppose que quelqu'un en soit explicitement chargé.</w:t>
        <w:br/>
        <w:t>Un point d'évaluation est fixé à la fin de l'année scolaire : mesurer le taux de passage entre les deux années, seul indicateur de résultat qui ne pouvait pas être relevé pendant le projet.</w:t>
      </w:r>
    </w:p>
    <w:p>
      <w:pPr>
        <w:spacing w:before="200" w:after="80"/>
      </w:pPr>
      <w:r>
        <w:rPr>
          <w:rFonts w:ascii="Arial" w:hAnsi="Arial"/>
          <w:b/>
          <w:i w:val="0"/>
          <w:color w:val="1F3864"/>
          <w:sz w:val="25"/>
        </w:rPr>
        <w:t>6.  Leçons apprises et recommandations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1587"/>
            <w:shd w:val="clear" w:fill="1F3864"/>
          </w:tcPr>
          <w:p>
            <w:pPr>
              <w:spacing w:after="20" w:before="20"/>
            </w:pPr>
            <w:r/>
            <w:r>
              <w:rPr>
                <w:rFonts w:ascii="Arial" w:hAnsi="Arial"/>
                <w:b/>
                <w:color w:val="FFFFFF"/>
                <w:sz w:val="16"/>
              </w:rPr>
              <w:t>Domaine</w:t>
            </w:r>
          </w:p>
        </w:tc>
        <w:tc>
          <w:tcPr>
            <w:tcW w:type="dxa" w:w="3969"/>
            <w:shd w:val="clear" w:fill="1F3864"/>
          </w:tcPr>
          <w:p>
            <w:pPr>
              <w:spacing w:after="20" w:before="20"/>
            </w:pPr>
            <w:r/>
            <w:r>
              <w:rPr>
                <w:rFonts w:ascii="Arial" w:hAnsi="Arial"/>
                <w:b/>
                <w:color w:val="FFFFFF"/>
                <w:sz w:val="16"/>
              </w:rPr>
              <w:t>Leçon apprise</w:t>
            </w:r>
          </w:p>
        </w:tc>
        <w:tc>
          <w:tcPr>
            <w:tcW w:type="dxa" w:w="4195"/>
            <w:shd w:val="clear" w:fill="1F3864"/>
          </w:tcPr>
          <w:p>
            <w:pPr>
              <w:spacing w:after="20" w:before="20"/>
            </w:pPr>
            <w:r/>
            <w:r>
              <w:rPr>
                <w:rFonts w:ascii="Arial" w:hAnsi="Arial"/>
                <w:b/>
                <w:color w:val="FFFFFF"/>
                <w:sz w:val="16"/>
              </w:rPr>
              <w:t>Recommandation</w:t>
            </w:r>
          </w:p>
        </w:tc>
      </w:tr>
      <w:tr>
        <w:tc>
          <w:tcPr>
            <w:tcW w:type="dxa" w:w="1587"/>
          </w:tcPr>
          <w:p>
            <w:pPr>
              <w:spacing w:after="20" w:before="20"/>
            </w:pPr>
            <w:r/>
            <w:r>
              <w:rPr>
                <w:rFonts w:ascii="Arial" w:hAnsi="Arial"/>
                <w:b w:val="0"/>
                <w:sz w:val="16"/>
              </w:rPr>
              <w:t>Périmètre</w:t>
            </w:r>
          </w:p>
        </w:tc>
        <w:tc>
          <w:tcPr>
            <w:tcW w:type="dxa" w:w="3969"/>
          </w:tcPr>
          <w:p>
            <w:pPr>
              <w:spacing w:after="20" w:before="20"/>
            </w:pPr>
            <w:r/>
            <w:r>
              <w:rPr>
                <w:rFonts w:ascii="Arial" w:hAnsi="Arial"/>
                <w:b w:val="0"/>
                <w:sz w:val="16"/>
              </w:rPr>
              <w:t>Une estimation portée par une fiche de poste n'est pas un recensement : l'écart entre les deux a structuré tout le projet</w:t>
            </w:r>
          </w:p>
        </w:tc>
        <w:tc>
          <w:tcPr>
            <w:tcW w:type="dxa" w:w="4195"/>
          </w:tcPr>
          <w:p>
            <w:pPr>
              <w:spacing w:after="20" w:before="20"/>
            </w:pPr>
            <w:r/>
            <w:r>
              <w:rPr>
                <w:rFonts w:ascii="Arial" w:hAnsi="Arial"/>
                <w:b w:val="0"/>
                <w:sz w:val="16"/>
              </w:rPr>
              <w:t>Recenser avant d'engager, et faire du recensement un livrable en soi</w:t>
            </w:r>
          </w:p>
        </w:tc>
      </w:tr>
      <w:tr>
        <w:tc>
          <w:tcPr>
            <w:tcW w:type="dxa" w:w="1587"/>
          </w:tcPr>
          <w:p>
            <w:pPr>
              <w:spacing w:after="20" w:before="20"/>
            </w:pPr>
            <w:r/>
            <w:r>
              <w:rPr>
                <w:rFonts w:ascii="Arial" w:hAnsi="Arial"/>
                <w:b w:val="0"/>
                <w:sz w:val="16"/>
              </w:rPr>
              <w:t>Charge et moyens</w:t>
            </w:r>
          </w:p>
        </w:tc>
        <w:tc>
          <w:tcPr>
            <w:tcW w:type="dxa" w:w="3969"/>
          </w:tcPr>
          <w:p>
            <w:pPr>
              <w:spacing w:after="20" w:before="20"/>
            </w:pPr>
            <w:r/>
            <w:r>
              <w:rPr>
                <w:rFonts w:ascii="Arial" w:hAnsi="Arial"/>
                <w:b w:val="0"/>
                <w:sz w:val="16"/>
              </w:rPr>
              <w:t>Un écart de charge absorbé sans être renégocié disparaît des comptes et ne prouve rien</w:t>
            </w:r>
          </w:p>
        </w:tc>
        <w:tc>
          <w:tcPr>
            <w:tcW w:type="dxa" w:w="4195"/>
          </w:tcPr>
          <w:p>
            <w:pPr>
              <w:spacing w:after="20" w:before="20"/>
            </w:pPr>
            <w:r/>
            <w:r>
              <w:rPr>
                <w:rFonts w:ascii="Arial" w:hAnsi="Arial"/>
                <w:b w:val="0"/>
                <w:sz w:val="16"/>
              </w:rPr>
              <w:t>Porter l'écart au comité dès qu'il est constaté, même sans demande de moyens</w:t>
            </w:r>
          </w:p>
        </w:tc>
      </w:tr>
      <w:tr>
        <w:tc>
          <w:tcPr>
            <w:tcW w:type="dxa" w:w="1587"/>
          </w:tcPr>
          <w:p>
            <w:pPr>
              <w:spacing w:after="20" w:before="20"/>
            </w:pPr>
            <w:r/>
            <w:r>
              <w:rPr>
                <w:rFonts w:ascii="Arial" w:hAnsi="Arial"/>
                <w:b w:val="0"/>
                <w:sz w:val="16"/>
              </w:rPr>
              <w:t>Parties prenantes</w:t>
            </w:r>
          </w:p>
        </w:tc>
        <w:tc>
          <w:tcPr>
            <w:tcW w:type="dxa" w:w="3969"/>
          </w:tcPr>
          <w:p>
            <w:pPr>
              <w:spacing w:after="20" w:before="20"/>
            </w:pPr>
            <w:r/>
            <w:r>
              <w:rPr>
                <w:rFonts w:ascii="Arial" w:hAnsi="Arial"/>
                <w:b w:val="0"/>
                <w:sz w:val="16"/>
              </w:rPr>
              <w:t>Un message collectif ne mobilise pas des acteurs qui n'ont pas demandé le projet</w:t>
            </w:r>
          </w:p>
        </w:tc>
        <w:tc>
          <w:tcPr>
            <w:tcW w:type="dxa" w:w="4195"/>
          </w:tcPr>
          <w:p>
            <w:pPr>
              <w:spacing w:after="20" w:before="20"/>
            </w:pPr>
            <w:r/>
            <w:r>
              <w:rPr>
                <w:rFonts w:ascii="Arial" w:hAnsi="Arial"/>
                <w:b w:val="0"/>
                <w:sz w:val="16"/>
              </w:rPr>
              <w:t>Segmenter tôt, parler individuellement à ceux dont dépend l'appropriation</w:t>
            </w:r>
          </w:p>
        </w:tc>
      </w:tr>
      <w:tr>
        <w:tc>
          <w:tcPr>
            <w:tcW w:type="dxa" w:w="1587"/>
          </w:tcPr>
          <w:p>
            <w:pPr>
              <w:spacing w:after="20" w:before="20"/>
            </w:pPr>
            <w:r/>
            <w:r>
              <w:rPr>
                <w:rFonts w:ascii="Arial" w:hAnsi="Arial"/>
                <w:b w:val="0"/>
                <w:sz w:val="16"/>
              </w:rPr>
              <w:t>Communication</w:t>
            </w:r>
          </w:p>
        </w:tc>
        <w:tc>
          <w:tcPr>
            <w:tcW w:type="dxa" w:w="3969"/>
          </w:tcPr>
          <w:p>
            <w:pPr>
              <w:spacing w:after="20" w:before="20"/>
            </w:pPr>
            <w:r/>
            <w:r>
              <w:rPr>
                <w:rFonts w:ascii="Arial" w:hAnsi="Arial"/>
                <w:b w:val="0"/>
                <w:sz w:val="16"/>
              </w:rPr>
              <w:t>La légitimité de l'émetteur compte davantage que le contenu du message</w:t>
            </w:r>
          </w:p>
        </w:tc>
        <w:tc>
          <w:tcPr>
            <w:tcW w:type="dxa" w:w="4195"/>
          </w:tcPr>
          <w:p>
            <w:pPr>
              <w:spacing w:after="20" w:before="20"/>
            </w:pPr>
            <w:r/>
            <w:r>
              <w:rPr>
                <w:rFonts w:ascii="Arial" w:hAnsi="Arial"/>
                <w:b w:val="0"/>
                <w:sz w:val="16"/>
              </w:rPr>
              <w:t>Confier la communication interne à qui la porte, pas à qui la rédige</w:t>
            </w:r>
          </w:p>
        </w:tc>
      </w:tr>
      <w:tr>
        <w:tc>
          <w:tcPr>
            <w:tcW w:type="dxa" w:w="1587"/>
          </w:tcPr>
          <w:p>
            <w:pPr>
              <w:spacing w:after="20" w:before="20"/>
            </w:pPr>
            <w:r/>
            <w:r>
              <w:rPr>
                <w:rFonts w:ascii="Arial" w:hAnsi="Arial"/>
                <w:b w:val="0"/>
                <w:sz w:val="16"/>
              </w:rPr>
              <w:t>Contribution</w:t>
            </w:r>
          </w:p>
        </w:tc>
        <w:tc>
          <w:tcPr>
            <w:tcW w:type="dxa" w:w="3969"/>
          </w:tcPr>
          <w:p>
            <w:pPr>
              <w:spacing w:after="20" w:before="20"/>
            </w:pPr>
            <w:r/>
            <w:r>
              <w:rPr>
                <w:rFonts w:ascii="Arial" w:hAnsi="Arial"/>
                <w:b w:val="0"/>
                <w:sz w:val="16"/>
              </w:rPr>
              <w:t>La déclaration des formateurs a décollé quand elle a servi celui qui la faisait</w:t>
            </w:r>
          </w:p>
        </w:tc>
        <w:tc>
          <w:tcPr>
            <w:tcW w:type="dxa" w:w="4195"/>
          </w:tcPr>
          <w:p>
            <w:pPr>
              <w:spacing w:after="20" w:before="20"/>
            </w:pPr>
            <w:r/>
            <w:r>
              <w:rPr>
                <w:rFonts w:ascii="Arial" w:hAnsi="Arial"/>
                <w:b w:val="0"/>
                <w:sz w:val="16"/>
              </w:rPr>
              <w:t>Chercher l'intérêt du contributeur avant de chercher son adhésion</w:t>
            </w:r>
          </w:p>
        </w:tc>
      </w:tr>
      <w:tr>
        <w:tc>
          <w:tcPr>
            <w:tcW w:type="dxa" w:w="1587"/>
          </w:tcPr>
          <w:p>
            <w:pPr>
              <w:spacing w:after="20" w:before="20"/>
            </w:pPr>
            <w:r/>
            <w:r>
              <w:rPr>
                <w:rFonts w:ascii="Arial" w:hAnsi="Arial"/>
                <w:b w:val="0"/>
                <w:sz w:val="16"/>
              </w:rPr>
              <w:t>Outillage</w:t>
            </w:r>
          </w:p>
        </w:tc>
        <w:tc>
          <w:tcPr>
            <w:tcW w:type="dxa" w:w="3969"/>
          </w:tcPr>
          <w:p>
            <w:pPr>
              <w:spacing w:after="20" w:before="20"/>
            </w:pPr>
            <w:r/>
            <w:r>
              <w:rPr>
                <w:rFonts w:ascii="Arial" w:hAnsi="Arial"/>
                <w:b w:val="0"/>
                <w:sz w:val="16"/>
              </w:rPr>
              <w:t>L'automatisation de la production a rendu possible un périmètre que la charge accordée ne permettait pas</w:t>
            </w:r>
          </w:p>
        </w:tc>
        <w:tc>
          <w:tcPr>
            <w:tcW w:type="dxa" w:w="4195"/>
          </w:tcPr>
          <w:p>
            <w:pPr>
              <w:spacing w:after="20" w:before="20"/>
            </w:pPr>
            <w:r/>
            <w:r>
              <w:rPr>
                <w:rFonts w:ascii="Arial" w:hAnsi="Arial"/>
                <w:b w:val="0"/>
                <w:sz w:val="16"/>
              </w:rPr>
              <w:t>Investir dans l'outillage dès que le volume dépasse ce qu'une personne peut tenir à la main</w:t>
            </w:r>
          </w:p>
        </w:tc>
      </w:tr>
      <w:tr>
        <w:tc>
          <w:tcPr>
            <w:tcW w:type="dxa" w:w="1587"/>
          </w:tcPr>
          <w:p>
            <w:pPr>
              <w:spacing w:after="20" w:before="20"/>
            </w:pPr>
            <w:r/>
            <w:r>
              <w:rPr>
                <w:rFonts w:ascii="Arial" w:hAnsi="Arial"/>
                <w:b w:val="0"/>
                <w:sz w:val="16"/>
              </w:rPr>
              <w:t>Qualité</w:t>
            </w:r>
          </w:p>
        </w:tc>
        <w:tc>
          <w:tcPr>
            <w:tcW w:type="dxa" w:w="3969"/>
          </w:tcPr>
          <w:p>
            <w:pPr>
              <w:spacing w:after="20" w:before="20"/>
            </w:pPr>
            <w:r/>
            <w:r>
              <w:rPr>
                <w:rFonts w:ascii="Arial" w:hAnsi="Arial"/>
                <w:b w:val="0"/>
                <w:sz w:val="16"/>
              </w:rPr>
              <w:t>Les contrôles automatiques ont trouvé des défauts qu'aucune relecture humaine n'aurait vus</w:t>
            </w:r>
          </w:p>
        </w:tc>
        <w:tc>
          <w:tcPr>
            <w:tcW w:type="dxa" w:w="4195"/>
          </w:tcPr>
          <w:p>
            <w:pPr>
              <w:spacing w:after="20" w:before="20"/>
            </w:pPr>
            <w:r/>
            <w:r>
              <w:rPr>
                <w:rFonts w:ascii="Arial" w:hAnsi="Arial"/>
                <w:b w:val="0"/>
                <w:sz w:val="16"/>
              </w:rPr>
              <w:t>Automatiser ce qui est vérifiable, réserver la relecture au jugement</w:t>
            </w:r>
          </w:p>
        </w:tc>
      </w:tr>
      <w:tr>
        <w:tc>
          <w:tcPr>
            <w:tcW w:type="dxa" w:w="1587"/>
          </w:tcPr>
          <w:p>
            <w:pPr>
              <w:spacing w:after="20" w:before="20"/>
            </w:pPr>
            <w:r/>
            <w:r>
              <w:rPr>
                <w:rFonts w:ascii="Arial" w:hAnsi="Arial"/>
                <w:b w:val="0"/>
                <w:sz w:val="16"/>
              </w:rPr>
              <w:t>Délais</w:t>
            </w:r>
          </w:p>
        </w:tc>
        <w:tc>
          <w:tcPr>
            <w:tcW w:type="dxa" w:w="3969"/>
          </w:tcPr>
          <w:p>
            <w:pPr>
              <w:spacing w:after="20" w:before="20"/>
            </w:pPr>
            <w:r/>
            <w:r>
              <w:rPr>
                <w:rFonts w:ascii="Arial" w:hAnsi="Arial"/>
                <w:b w:val="0"/>
                <w:sz w:val="16"/>
              </w:rPr>
              <w:t>Le butoir de rentrée a tenu parce qu'il n'a jamais été discuté</w:t>
            </w:r>
          </w:p>
        </w:tc>
        <w:tc>
          <w:tcPr>
            <w:tcW w:type="dxa" w:w="4195"/>
          </w:tcPr>
          <w:p>
            <w:pPr>
              <w:spacing w:after="20" w:before="20"/>
            </w:pPr>
            <w:r/>
            <w:r>
              <w:rPr>
                <w:rFonts w:ascii="Arial" w:hAnsi="Arial"/>
                <w:b w:val="0"/>
                <w:sz w:val="16"/>
              </w:rPr>
              <w:t>Distinguer explicitement les dates négociables des dates intangibles</w:t>
            </w:r>
          </w:p>
        </w:tc>
      </w:tr>
      <w:tr>
        <w:tc>
          <w:tcPr>
            <w:tcW w:type="dxa" w:w="1587"/>
          </w:tcPr>
          <w:p>
            <w:pPr>
              <w:spacing w:after="20" w:before="20"/>
            </w:pPr>
            <w:r/>
            <w:r>
              <w:rPr>
                <w:rFonts w:ascii="Arial" w:hAnsi="Arial"/>
                <w:b w:val="0"/>
                <w:sz w:val="16"/>
              </w:rPr>
              <w:t>Expertise externe</w:t>
            </w:r>
          </w:p>
        </w:tc>
        <w:tc>
          <w:tcPr>
            <w:tcW w:type="dxa" w:w="3969"/>
          </w:tcPr>
          <w:p>
            <w:pPr>
              <w:spacing w:after="20" w:before="20"/>
            </w:pPr>
            <w:r/>
            <w:r>
              <w:rPr>
                <w:rFonts w:ascii="Arial" w:hAnsi="Arial"/>
                <w:b w:val="0"/>
                <w:sz w:val="16"/>
              </w:rPr>
              <w:t>L'avis d'un expert sans pouvoir d'approbation a plus fait avancer le projet que bien des validations</w:t>
            </w:r>
          </w:p>
        </w:tc>
        <w:tc>
          <w:tcPr>
            <w:tcW w:type="dxa" w:w="4195"/>
          </w:tcPr>
          <w:p>
            <w:pPr>
              <w:spacing w:after="20" w:before="20"/>
            </w:pPr>
            <w:r/>
            <w:r>
              <w:rPr>
                <w:rFonts w:ascii="Arial" w:hAnsi="Arial"/>
                <w:b w:val="0"/>
                <w:sz w:val="16"/>
              </w:rPr>
              <w:t>Solliciter l'expertise là où elle est, indépendamment de l'autorité</w:t>
            </w:r>
          </w:p>
        </w:tc>
      </w:tr>
      <w:tr>
        <w:tc>
          <w:tcPr>
            <w:tcW w:type="dxa" w:w="1587"/>
          </w:tcPr>
          <w:p>
            <w:pPr>
              <w:spacing w:after="20" w:before="20"/>
            </w:pPr>
            <w:r/>
            <w:r>
              <w:rPr>
                <w:rFonts w:ascii="Arial" w:hAnsi="Arial"/>
                <w:b w:val="0"/>
                <w:sz w:val="16"/>
              </w:rPr>
              <w:t>Documentation</w:t>
            </w:r>
          </w:p>
        </w:tc>
        <w:tc>
          <w:tcPr>
            <w:tcW w:type="dxa" w:w="3969"/>
          </w:tcPr>
          <w:p>
            <w:pPr>
              <w:spacing w:after="20" w:before="20"/>
            </w:pPr>
            <w:r/>
            <w:r>
              <w:rPr>
                <w:rFonts w:ascii="Arial" w:hAnsi="Arial"/>
                <w:b w:val="0"/>
                <w:sz w:val="16"/>
              </w:rPr>
              <w:t>Écrire la note de cadrage pendant le projet plutôt qu'avant a coûté en clarté au démarrage</w:t>
            </w:r>
          </w:p>
        </w:tc>
        <w:tc>
          <w:tcPr>
            <w:tcW w:type="dxa" w:w="4195"/>
          </w:tcPr>
          <w:p>
            <w:pPr>
              <w:spacing w:after="20" w:before="20"/>
            </w:pPr>
            <w:r/>
            <w:r>
              <w:rPr>
                <w:rFonts w:ascii="Arial" w:hAnsi="Arial"/>
                <w:b w:val="0"/>
                <w:sz w:val="16"/>
              </w:rPr>
              <w:t>Exiger un cadrage écrit avant d'engager, même court</w:t>
            </w:r>
          </w:p>
        </w:tc>
      </w:tr>
    </w:tbl>
    <w:p>
      <w:pPr>
        <w:spacing w:before="0" w:after="120"/>
      </w:pPr>
    </w:p>
    <w:p>
      <w:pPr>
        <w:spacing w:before="200" w:after="80"/>
      </w:pPr>
      <w:r>
        <w:rPr>
          <w:rFonts w:ascii="Arial" w:hAnsi="Arial"/>
          <w:b/>
          <w:i w:val="0"/>
          <w:color w:val="1F3864"/>
          <w:sz w:val="25"/>
        </w:rPr>
        <w:t>7.  Satisfaction des parties prenantes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2154"/>
            <w:shd w:val="clear" w:fill="1F3864"/>
          </w:tcPr>
          <w:p>
            <w:pPr>
              <w:spacing w:after="20" w:before="20"/>
            </w:pPr>
            <w:r/>
            <w:r>
              <w:rPr>
                <w:rFonts w:ascii="Arial" w:hAnsi="Arial"/>
                <w:b/>
                <w:color w:val="FFFFFF"/>
                <w:sz w:val="16"/>
              </w:rPr>
              <w:t>Partie prenante</w:t>
            </w:r>
          </w:p>
        </w:tc>
        <w:tc>
          <w:tcPr>
            <w:tcW w:type="dxa" w:w="3628"/>
            <w:shd w:val="clear" w:fill="1F3864"/>
          </w:tcPr>
          <w:p>
            <w:pPr>
              <w:spacing w:after="20" w:before="20"/>
            </w:pPr>
            <w:r/>
            <w:r>
              <w:rPr>
                <w:rFonts w:ascii="Arial" w:hAnsi="Arial"/>
                <w:b/>
                <w:color w:val="FFFFFF"/>
                <w:sz w:val="16"/>
              </w:rPr>
              <w:t>Ce qu'elle attendait</w:t>
            </w:r>
          </w:p>
        </w:tc>
        <w:tc>
          <w:tcPr>
            <w:tcW w:type="dxa" w:w="3969"/>
            <w:shd w:val="clear" w:fill="1F3864"/>
          </w:tcPr>
          <w:p>
            <w:pPr>
              <w:spacing w:after="20" w:before="20"/>
            </w:pPr>
            <w:r/>
            <w:r>
              <w:rPr>
                <w:rFonts w:ascii="Arial" w:hAnsi="Arial"/>
                <w:b/>
                <w:color w:val="FFFFFF"/>
                <w:sz w:val="16"/>
              </w:rPr>
              <w:t>Appréciation portée</w:t>
            </w:r>
          </w:p>
        </w:tc>
      </w:tr>
      <w:tr>
        <w:tc>
          <w:tcPr>
            <w:tcW w:type="dxa" w:w="2154"/>
          </w:tcPr>
          <w:p>
            <w:pPr>
              <w:spacing w:after="20" w:before="20"/>
            </w:pPr>
            <w:r/>
            <w:r>
              <w:rPr>
                <w:rFonts w:ascii="Arial" w:hAnsi="Arial"/>
                <w:b w:val="0"/>
                <w:sz w:val="16"/>
              </w:rPr>
              <w:t>Direction</w:t>
            </w:r>
          </w:p>
        </w:tc>
        <w:tc>
          <w:tcPr>
            <w:tcW w:type="dxa" w:w="3628"/>
          </w:tcPr>
          <w:p>
            <w:pPr>
              <w:spacing w:after="20" w:before="20"/>
            </w:pPr>
            <w:r/>
            <w:r>
              <w:rPr>
                <w:rFonts w:ascii="Arial" w:hAnsi="Arial"/>
                <w:b w:val="0"/>
                <w:sz w:val="16"/>
              </w:rPr>
              <w:t>Un programme structuré et prêt pour la rentrée</w:t>
            </w:r>
          </w:p>
        </w:tc>
        <w:tc>
          <w:tcPr>
            <w:tcW w:type="dxa" w:w="3969"/>
          </w:tcPr>
          <w:p>
            <w:pPr>
              <w:spacing w:after="20" w:before="20"/>
            </w:pPr>
            <w:r/>
            <w:r>
              <w:rPr>
                <w:rFonts w:ascii="Arial" w:hAnsi="Arial"/>
                <w:b w:val="0"/>
                <w:sz w:val="16"/>
              </w:rPr>
              <w:t>Attente satisfaite ; la question des moyens reste posée</w:t>
            </w:r>
          </w:p>
        </w:tc>
      </w:tr>
      <w:tr>
        <w:tc>
          <w:tcPr>
            <w:tcW w:type="dxa" w:w="2154"/>
          </w:tcPr>
          <w:p>
            <w:pPr>
              <w:spacing w:after="20" w:before="20"/>
            </w:pPr>
            <w:r/>
            <w:r>
              <w:rPr>
                <w:rFonts w:ascii="Arial" w:hAnsi="Arial"/>
                <w:b w:val="0"/>
                <w:sz w:val="16"/>
              </w:rPr>
              <w:t>Responsable pédagogique</w:t>
            </w:r>
          </w:p>
        </w:tc>
        <w:tc>
          <w:tcPr>
            <w:tcW w:type="dxa" w:w="3628"/>
          </w:tcPr>
          <w:p>
            <w:pPr>
              <w:spacing w:after="20" w:before="20"/>
            </w:pPr>
            <w:r/>
            <w:r>
              <w:rPr>
                <w:rFonts w:ascii="Arial" w:hAnsi="Arial"/>
                <w:b w:val="0"/>
                <w:sz w:val="16"/>
              </w:rPr>
              <w:t>Un cadre commun exploitable et des preuves qualité</w:t>
            </w:r>
          </w:p>
        </w:tc>
        <w:tc>
          <w:tcPr>
            <w:tcW w:type="dxa" w:w="3969"/>
          </w:tcPr>
          <w:p>
            <w:pPr>
              <w:spacing w:after="20" w:before="20"/>
            </w:pPr>
            <w:r/>
            <w:r>
              <w:rPr>
                <w:rFonts w:ascii="Arial" w:hAnsi="Arial"/>
                <w:b w:val="0"/>
                <w:sz w:val="16"/>
              </w:rPr>
              <w:t>Attente satisfaite, au prix d'une implication très supérieure au prévu</w:t>
            </w:r>
          </w:p>
        </w:tc>
      </w:tr>
      <w:tr>
        <w:tc>
          <w:tcPr>
            <w:tcW w:type="dxa" w:w="2154"/>
          </w:tcPr>
          <w:p>
            <w:pPr>
              <w:spacing w:after="20" w:before="20"/>
            </w:pPr>
            <w:r/>
            <w:r>
              <w:rPr>
                <w:rFonts w:ascii="Arial" w:hAnsi="Arial"/>
                <w:b w:val="0"/>
                <w:sz w:val="16"/>
              </w:rPr>
              <w:t>Formateurs</w:t>
            </w:r>
          </w:p>
        </w:tc>
        <w:tc>
          <w:tcPr>
            <w:tcW w:type="dxa" w:w="3628"/>
          </w:tcPr>
          <w:p>
            <w:pPr>
              <w:spacing w:after="20" w:before="20"/>
            </w:pPr>
            <w:r/>
            <w:r>
              <w:rPr>
                <w:rFonts w:ascii="Arial" w:hAnsi="Arial"/>
                <w:b w:val="0"/>
                <w:sz w:val="16"/>
              </w:rPr>
              <w:t>Ne pas perdre leur matière ni leur marge d'adaptation</w:t>
            </w:r>
          </w:p>
        </w:tc>
        <w:tc>
          <w:tcPr>
            <w:tcW w:type="dxa" w:w="3969"/>
          </w:tcPr>
          <w:p>
            <w:pPr>
              <w:spacing w:after="20" w:before="20"/>
            </w:pPr>
            <w:r/>
            <w:r>
              <w:rPr>
                <w:rFonts w:ascii="Arial" w:hAnsi="Arial"/>
                <w:b w:val="0"/>
                <w:sz w:val="16"/>
              </w:rPr>
              <w:t>Réserves initiales levées pour l'essentiel ; l'usage réel le dira</w:t>
            </w:r>
          </w:p>
        </w:tc>
      </w:tr>
      <w:tr>
        <w:tc>
          <w:tcPr>
            <w:tcW w:type="dxa" w:w="2154"/>
          </w:tcPr>
          <w:p>
            <w:pPr>
              <w:spacing w:after="20" w:before="20"/>
            </w:pPr>
            <w:r/>
            <w:r>
              <w:rPr>
                <w:rFonts w:ascii="Arial" w:hAnsi="Arial"/>
                <w:b w:val="0"/>
                <w:sz w:val="16"/>
              </w:rPr>
              <w:t>Équipe commerciale</w:t>
            </w:r>
          </w:p>
        </w:tc>
        <w:tc>
          <w:tcPr>
            <w:tcW w:type="dxa" w:w="3628"/>
          </w:tcPr>
          <w:p>
            <w:pPr>
              <w:spacing w:after="20" w:before="20"/>
            </w:pPr>
            <w:r/>
            <w:r>
              <w:rPr>
                <w:rFonts w:ascii="Arial" w:hAnsi="Arial"/>
                <w:b w:val="0"/>
                <w:sz w:val="16"/>
              </w:rPr>
              <w:t>Un programme conforme à ce qui a été vendu</w:t>
            </w:r>
          </w:p>
        </w:tc>
        <w:tc>
          <w:tcPr>
            <w:tcW w:type="dxa" w:w="3969"/>
          </w:tcPr>
          <w:p>
            <w:pPr>
              <w:spacing w:after="20" w:before="20"/>
            </w:pPr>
            <w:r/>
            <w:r>
              <w:rPr>
                <w:rFonts w:ascii="Arial" w:hAnsi="Arial"/>
                <w:b w:val="0"/>
                <w:sz w:val="16"/>
              </w:rPr>
              <w:t>Attente satisfaite</w:t>
            </w:r>
          </w:p>
        </w:tc>
      </w:tr>
      <w:tr>
        <w:tc>
          <w:tcPr>
            <w:tcW w:type="dxa" w:w="2154"/>
          </w:tcPr>
          <w:p>
            <w:pPr>
              <w:spacing w:after="20" w:before="20"/>
            </w:pPr>
            <w:r/>
            <w:r>
              <w:rPr>
                <w:rFonts w:ascii="Arial" w:hAnsi="Arial"/>
                <w:b w:val="0"/>
                <w:sz w:val="16"/>
              </w:rPr>
              <w:t>Certificateur</w:t>
            </w:r>
          </w:p>
        </w:tc>
        <w:tc>
          <w:tcPr>
            <w:tcW w:type="dxa" w:w="3628"/>
          </w:tcPr>
          <w:p>
            <w:pPr>
              <w:spacing w:after="20" w:before="20"/>
            </w:pPr>
            <w:r/>
            <w:r>
              <w:rPr>
                <w:rFonts w:ascii="Arial" w:hAnsi="Arial"/>
                <w:b w:val="0"/>
                <w:sz w:val="16"/>
              </w:rPr>
              <w:t>Une cohérence des années amont avec les titres visés</w:t>
            </w:r>
          </w:p>
        </w:tc>
        <w:tc>
          <w:tcPr>
            <w:tcW w:type="dxa" w:w="3969"/>
          </w:tcPr>
          <w:p>
            <w:pPr>
              <w:spacing w:after="20" w:before="20"/>
            </w:pPr>
            <w:r/>
            <w:r>
              <w:rPr>
                <w:rFonts w:ascii="Arial" w:hAnsi="Arial"/>
                <w:b w:val="0"/>
                <w:sz w:val="16"/>
              </w:rPr>
              <w:t>Avis favorable, remarques intégrées</w:t>
            </w:r>
          </w:p>
        </w:tc>
      </w:tr>
      <w:tr>
        <w:tc>
          <w:tcPr>
            <w:tcW w:type="dxa" w:w="2154"/>
          </w:tcPr>
          <w:p>
            <w:pPr>
              <w:spacing w:after="20" w:before="20"/>
            </w:pPr>
            <w:r/>
            <w:r>
              <w:rPr>
                <w:rFonts w:ascii="Arial" w:hAnsi="Arial"/>
                <w:b w:val="0"/>
                <w:sz w:val="16"/>
              </w:rPr>
              <w:t>Étudiants</w:t>
            </w:r>
          </w:p>
        </w:tc>
        <w:tc>
          <w:tcPr>
            <w:tcW w:type="dxa" w:w="3628"/>
          </w:tcPr>
          <w:p>
            <w:pPr>
              <w:spacing w:after="20" w:before="20"/>
            </w:pPr>
            <w:r/>
            <w:r>
              <w:rPr>
                <w:rFonts w:ascii="Arial" w:hAnsi="Arial"/>
                <w:b w:val="0"/>
                <w:sz w:val="16"/>
              </w:rPr>
              <w:t>Un parcours lisible et sans rupture</w:t>
            </w:r>
          </w:p>
        </w:tc>
        <w:tc>
          <w:tcPr>
            <w:tcW w:type="dxa" w:w="3969"/>
          </w:tcPr>
          <w:p>
            <w:pPr>
              <w:spacing w:after="20" w:before="20"/>
            </w:pPr>
            <w:r/>
            <w:r>
              <w:rPr>
                <w:rFonts w:ascii="Arial" w:hAnsi="Arial"/>
                <w:b w:val="0"/>
                <w:sz w:val="16"/>
              </w:rPr>
              <w:t>Ne pourra être apprécié qu'après une année de mise en œuvre</w:t>
            </w:r>
          </w:p>
        </w:tc>
      </w:tr>
    </w:tbl>
    <w:p>
      <w:pPr>
        <w:spacing w:before="0" w:after="120"/>
      </w:pPr>
    </w:p>
    <w:p>
      <w:pPr>
        <w:spacing w:before="200" w:after="80"/>
      </w:pPr>
      <w:r>
        <w:rPr>
          <w:rFonts w:ascii="Arial" w:hAnsi="Arial"/>
          <w:b/>
          <w:i w:val="0"/>
          <w:color w:val="1F3864"/>
          <w:sz w:val="25"/>
        </w:rPr>
        <w:t>8.  Documents archivés</w:t>
      </w:r>
    </w:p>
    <w:p>
      <w:pPr>
        <w:spacing w:before="0" w:after="100"/>
      </w:pPr>
      <w:r>
        <w:rPr>
          <w:rFonts w:ascii="Arial" w:hAnsi="Arial"/>
          <w:b w:val="0"/>
          <w:i w:val="0"/>
          <w:color w:val="212121"/>
          <w:sz w:val="19"/>
        </w:rPr>
        <w:t>L'ensemble des documents de gestion du projet est versé au dépôt documentaire, dans sa version de clôture : étude d'opportunité, matrice SWOT, charte, cadre logique, registre des parties prenantes, expression des besoins et matrice des exigences, découpage des travaux et son dictionnaire, macro-planning et diagramme de Gantt, matrice des responsabilités, matrice des compétences, organigramme, plan de communication, budget et suivi des coûts, registres des risques, des problèmes et des changements, suivi des livrables et des actions, comptes rendus de réunion, tableau de bord, rapport flash, procès-verbal de réception et présent bilan. Le registre de gestion documentaire en donne l'inventaire et l'historique des versions.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Conclusion du chef de projet</w:t>
            </w:r>
          </w:p>
        </w:tc>
      </w:tr>
      <w:tr>
        <w:tc>
          <w:tcPr>
            <w:tcW w:type="dxa" w:w="9752"/>
          </w:tcPr>
          <w:p>
            <w:pPr>
              <w:spacing w:after="60" w:before="20"/>
            </w:pPr>
            <w:r/>
            <w:r>
              <w:rPr>
                <w:rFonts w:ascii="Arial" w:hAnsi="Arial"/>
                <w:b w:val="0"/>
                <w:sz w:val="19"/>
              </w:rPr>
              <w:t>Le projet a fait ce qu'il devait faire. Les deux premières années disposent d'un appareil pédagogique complet et aligné, l'outil de pilotage est en service, et la rentrée se fait sur ce référentiel.</w:t>
            </w:r>
          </w:p>
          <w:p>
            <w:pPr>
              <w:spacing w:after="60"/>
            </w:pPr>
            <w:r>
              <w:rPr>
                <w:rFonts w:ascii="Arial" w:hAnsi="Arial"/>
                <w:b w:val="0"/>
                <w:sz w:val="19"/>
              </w:rPr>
              <w:t>Deux choses méritent d'être dites sans détour. La première est que le résultat tient à un engagement qui dépasse largement les moyens accordés, le mien comme celui de la responsable pédagogique. Un projet de même ampleur conduit dans les mêmes conditions ne réussirait pas deux fois. La seconde est que l'appropriation, qui était le vrai risque, ne se jugera pas sur les documents produits mais sur ce que les formateurs en feront à partir de la rentrée. C'est la seule question que ce bilan ne peut pas trancher.</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Bilan de projet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