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Journal de bord</w:t>
            </w:r>
          </w:p>
          <w:p>
            <w:pPr>
              <w:spacing w:after="40"/>
              <w:jc w:val="center"/>
            </w:pPr>
            <w:r>
              <w:rPr>
                <w:rFonts w:ascii="Arial" w:hAnsi="Arial"/>
                <w:color w:val="D5DDEC"/>
                <w:sz w:val="20"/>
              </w:rPr>
              <w:t>Conception et conduite de projets de formation · Mohamed Amine EL AFRIT</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Auditeur</w:t>
            </w:r>
          </w:p>
        </w:tc>
        <w:tc>
          <w:tcPr>
            <w:tcW w:type="dxa" w:w="7143"/>
          </w:tcPr>
          <w:p>
            <w:pPr>
              <w:spacing w:after="40" w:before="20"/>
            </w:pPr>
            <w:r/>
            <w:r>
              <w:rPr>
                <w:rFonts w:ascii="Arial" w:hAnsi="Arial"/>
                <w:b w:val="0"/>
                <w:sz w:val="18"/>
              </w:rPr>
              <w:t>Mohamed Amine EL AFRIT</w:t>
            </w:r>
          </w:p>
        </w:tc>
      </w:tr>
      <w:tr>
        <w:tc>
          <w:tcPr>
            <w:tcW w:type="dxa" w:w="2608"/>
            <w:shd w:val="clear" w:fill="EAEFF7"/>
          </w:tcPr>
          <w:p>
            <w:pPr>
              <w:spacing w:after="40" w:before="20"/>
            </w:pPr>
            <w:r/>
            <w:r>
              <w:rPr>
                <w:rFonts w:ascii="Arial" w:hAnsi="Arial"/>
                <w:b/>
                <w:color w:val="1F3864"/>
                <w:sz w:val="18"/>
              </w:rPr>
              <w:t>Unité d'enseignement</w:t>
            </w:r>
          </w:p>
        </w:tc>
        <w:tc>
          <w:tcPr>
            <w:tcW w:type="dxa" w:w="7143"/>
          </w:tcPr>
          <w:p>
            <w:pPr>
              <w:spacing w:after="40" w:before="20"/>
            </w:pPr>
            <w:r/>
            <w:r>
              <w:rPr>
                <w:rFonts w:ascii="Arial" w:hAnsi="Arial"/>
                <w:b w:val="0"/>
                <w:sz w:val="18"/>
              </w:rPr>
              <w:t>Conception et conduite de projets de formation</w:t>
            </w:r>
          </w:p>
        </w:tc>
      </w:tr>
      <w:tr>
        <w:tc>
          <w:tcPr>
            <w:tcW w:type="dxa" w:w="2608"/>
            <w:shd w:val="clear" w:fill="EAEFF7"/>
          </w:tcPr>
          <w:p>
            <w:pPr>
              <w:spacing w:after="40" w:before="20"/>
            </w:pPr>
            <w:r/>
            <w:r>
              <w:rPr>
                <w:rFonts w:ascii="Arial" w:hAnsi="Arial"/>
                <w:b/>
                <w:color w:val="1F3864"/>
                <w:sz w:val="18"/>
              </w:rPr>
              <w:t>Projet conduit</w:t>
            </w:r>
          </w:p>
        </w:tc>
        <w:tc>
          <w:tcPr>
            <w:tcW w:type="dxa" w:w="7143"/>
          </w:tcPr>
          <w:p>
            <w:pPr>
              <w:spacing w:after="40" w:before="20"/>
            </w:pPr>
            <w:r/>
            <w:r>
              <w:rPr>
                <w:rFonts w:ascii="Arial" w:hAnsi="Arial"/>
                <w:b w:val="0"/>
                <w:sz w:val="18"/>
              </w:rPr>
              <w:t>Structuration des parcours des deux premières années, IMIE Paris</w:t>
            </w:r>
          </w:p>
        </w:tc>
      </w:tr>
      <w:tr>
        <w:tc>
          <w:tcPr>
            <w:tcW w:type="dxa" w:w="2608"/>
            <w:shd w:val="clear" w:fill="EAEFF7"/>
          </w:tcPr>
          <w:p>
            <w:pPr>
              <w:spacing w:after="40" w:before="20"/>
            </w:pPr>
            <w:r/>
            <w:r>
              <w:rPr>
                <w:rFonts w:ascii="Arial" w:hAnsi="Arial"/>
                <w:b/>
                <w:color w:val="1F3864"/>
                <w:sz w:val="18"/>
              </w:rPr>
              <w:t>Période</w:t>
            </w:r>
          </w:p>
        </w:tc>
        <w:tc>
          <w:tcPr>
            <w:tcW w:type="dxa" w:w="7143"/>
          </w:tcPr>
          <w:p>
            <w:pPr>
              <w:spacing w:after="40" w:before="20"/>
            </w:pPr>
            <w:r/>
            <w:r>
              <w:rPr>
                <w:rFonts w:ascii="Arial" w:hAnsi="Arial"/>
                <w:b w:val="0"/>
                <w:sz w:val="18"/>
              </w:rPr>
              <w:t>Du 24 février au 18 juin 2026, séances ; projet conduit de décembre 2025 à août 2026</w:t>
            </w:r>
          </w:p>
        </w:tc>
      </w:tr>
    </w:tbl>
    <w:p>
      <w:pPr>
        <w:spacing w:before="0" w:after="8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Comment ce journal a été tenu</w:t>
            </w:r>
          </w:p>
        </w:tc>
      </w:tr>
      <w:tr>
        <w:tc>
          <w:tcPr>
            <w:tcW w:type="dxa" w:w="9752"/>
          </w:tcPr>
          <w:p>
            <w:pPr>
              <w:spacing w:after="60" w:before="20"/>
            </w:pPr>
            <w:r/>
            <w:r>
              <w:rPr>
                <w:rFonts w:ascii="Arial" w:hAnsi="Arial"/>
                <w:b w:val="0"/>
                <w:sz w:val="18"/>
              </w:rPr>
              <w:t>Les entrées ci-dessous ont été reconstituées à partir de traces datées : les transcriptions des séances, les échanges écrits avec l'encadrante, l'historique du dépôt documentaire du projet et les jalons déposés. Ce mode de constitution est assumé : je n'ai pas tenu le journal au fil de l'eau comme le gabarit le prévoit, et c'est en soi un écart entre le prescrit et le réel. Chaque entrée porte la trace sur laquelle elle s'appuie.</w:t>
            </w:r>
          </w:p>
          <w:p>
            <w:pPr>
              <w:spacing w:after="60"/>
            </w:pPr>
            <w:r>
              <w:rPr>
                <w:rFonts w:ascii="Arial" w:hAnsi="Arial"/>
                <w:b w:val="0"/>
                <w:sz w:val="18"/>
              </w:rPr>
              <w:t>Les séances retenues sont celles qui ont produit une décision sur le projet. Les autres ont nourri la compréhension sans infléchir la conduite.</w:t>
            </w:r>
          </w:p>
        </w:tc>
      </w:tr>
    </w:tbl>
    <w:p>
      <w:pPr>
        <w:spacing w:before="0" w:after="120"/>
      </w:pPr>
    </w:p>
    <w:p>
      <w:pPr>
        <w:spacing w:before="200" w:after="80"/>
      </w:pPr>
      <w:r>
        <w:rPr>
          <w:rFonts w:ascii="Arial" w:hAnsi="Arial"/>
          <w:b/>
          <w:i w:val="0"/>
          <w:color w:val="1F3864"/>
          <w:sz w:val="25"/>
        </w:rPr>
        <w:t>Carte d'identité du projet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494"/>
            <w:shd w:val="clear" w:fill="1F3864"/>
          </w:tcPr>
          <w:p>
            <w:pPr>
              <w:spacing w:after="20" w:before="20"/>
            </w:pPr>
            <w:r/>
            <w:r>
              <w:rPr>
                <w:rFonts w:ascii="Arial" w:hAnsi="Arial"/>
                <w:b/>
                <w:color w:val="FFFFFF"/>
                <w:sz w:val="17"/>
              </w:rPr>
              <w:t>Rubrique</w:t>
            </w:r>
          </w:p>
        </w:tc>
        <w:tc>
          <w:tcPr>
            <w:tcW w:type="dxa" w:w="7257"/>
            <w:shd w:val="clear" w:fill="1F3864"/>
          </w:tcPr>
          <w:p>
            <w:pPr>
              <w:spacing w:after="20" w:before="20"/>
            </w:pPr>
            <w:r/>
            <w:r>
              <w:rPr>
                <w:rFonts w:ascii="Arial" w:hAnsi="Arial"/>
                <w:b/>
                <w:color w:val="FFFFFF"/>
                <w:sz w:val="17"/>
              </w:rPr>
              <w:t>Contenu</w:t>
            </w:r>
          </w:p>
        </w:tc>
      </w:tr>
      <w:tr>
        <w:tc>
          <w:tcPr>
            <w:tcW w:type="dxa" w:w="2494"/>
          </w:tcPr>
          <w:p>
            <w:pPr>
              <w:spacing w:after="20" w:before="20"/>
            </w:pPr>
            <w:r/>
            <w:r>
              <w:rPr>
                <w:rFonts w:ascii="Arial" w:hAnsi="Arial"/>
                <w:b w:val="0"/>
                <w:sz w:val="17"/>
              </w:rPr>
              <w:t>Intitulé</w:t>
            </w:r>
          </w:p>
        </w:tc>
        <w:tc>
          <w:tcPr>
            <w:tcW w:type="dxa" w:w="7257"/>
          </w:tcPr>
          <w:p>
            <w:pPr>
              <w:spacing w:after="20" w:before="20"/>
            </w:pPr>
            <w:r/>
            <w:r>
              <w:rPr>
                <w:rFonts w:ascii="Arial" w:hAnsi="Arial"/>
                <w:b w:val="0"/>
                <w:sz w:val="17"/>
              </w:rPr>
              <w:t>Structuration et harmonisation des parcours des deux premières années</w:t>
            </w:r>
          </w:p>
        </w:tc>
      </w:tr>
      <w:tr>
        <w:tc>
          <w:tcPr>
            <w:tcW w:type="dxa" w:w="2494"/>
          </w:tcPr>
          <w:p>
            <w:pPr>
              <w:spacing w:after="20" w:before="20"/>
            </w:pPr>
            <w:r/>
            <w:r>
              <w:rPr>
                <w:rFonts w:ascii="Arial" w:hAnsi="Arial"/>
                <w:b w:val="0"/>
                <w:sz w:val="17"/>
              </w:rPr>
              <w:t>Contexte professionnel</w:t>
            </w:r>
          </w:p>
        </w:tc>
        <w:tc>
          <w:tcPr>
            <w:tcW w:type="dxa" w:w="7257"/>
          </w:tcPr>
          <w:p>
            <w:pPr>
              <w:spacing w:after="20" w:before="20"/>
            </w:pPr>
            <w:r/>
            <w:r>
              <w:rPr>
                <w:rFonts w:ascii="Arial" w:hAnsi="Arial"/>
                <w:b w:val="0"/>
                <w:sz w:val="17"/>
              </w:rPr>
              <w:t>École privée d'informatique en alternance, poste de chargé de missions pédagogiques à un jour par semaine</w:t>
            </w:r>
          </w:p>
        </w:tc>
      </w:tr>
      <w:tr>
        <w:tc>
          <w:tcPr>
            <w:tcW w:type="dxa" w:w="2494"/>
          </w:tcPr>
          <w:p>
            <w:pPr>
              <w:spacing w:after="20" w:before="20"/>
            </w:pPr>
            <w:r/>
            <w:r>
              <w:rPr>
                <w:rFonts w:ascii="Arial" w:hAnsi="Arial"/>
                <w:b w:val="0"/>
                <w:sz w:val="17"/>
              </w:rPr>
              <w:t>Commanditaire</w:t>
            </w:r>
          </w:p>
        </w:tc>
        <w:tc>
          <w:tcPr>
            <w:tcW w:type="dxa" w:w="7257"/>
          </w:tcPr>
          <w:p>
            <w:pPr>
              <w:spacing w:after="20" w:before="20"/>
            </w:pPr>
            <w:r/>
            <w:r>
              <w:rPr>
                <w:rFonts w:ascii="Arial" w:hAnsi="Arial"/>
                <w:b w:val="0"/>
                <w:sz w:val="17"/>
              </w:rPr>
              <w:t>Direction de l'établissement, demande relayée par la responsable pédagogique</w:t>
            </w:r>
          </w:p>
        </w:tc>
      </w:tr>
      <w:tr>
        <w:tc>
          <w:tcPr>
            <w:tcW w:type="dxa" w:w="2494"/>
          </w:tcPr>
          <w:p>
            <w:pPr>
              <w:spacing w:after="20" w:before="20"/>
            </w:pPr>
            <w:r/>
            <w:r>
              <w:rPr>
                <w:rFonts w:ascii="Arial" w:hAnsi="Arial"/>
                <w:b w:val="0"/>
                <w:sz w:val="17"/>
              </w:rPr>
              <w:t>Public concerné</w:t>
            </w:r>
          </w:p>
        </w:tc>
        <w:tc>
          <w:tcPr>
            <w:tcW w:type="dxa" w:w="7257"/>
          </w:tcPr>
          <w:p>
            <w:pPr>
              <w:spacing w:after="20" w:before="20"/>
            </w:pPr>
            <w:r/>
            <w:r>
              <w:rPr>
                <w:rFonts w:ascii="Arial" w:hAnsi="Arial"/>
                <w:b w:val="0"/>
                <w:sz w:val="17"/>
              </w:rPr>
              <w:t>Étudiants des deux premières années des filières de développement et de cybersécurité, et les vingt-cinq formateurs qui y interviennent</w:t>
            </w:r>
          </w:p>
        </w:tc>
      </w:tr>
      <w:tr>
        <w:tc>
          <w:tcPr>
            <w:tcW w:type="dxa" w:w="2494"/>
          </w:tcPr>
          <w:p>
            <w:pPr>
              <w:spacing w:after="20" w:before="20"/>
            </w:pPr>
            <w:r/>
            <w:r>
              <w:rPr>
                <w:rFonts w:ascii="Arial" w:hAnsi="Arial"/>
                <w:b w:val="0"/>
                <w:sz w:val="17"/>
              </w:rPr>
              <w:t>État au démarrage</w:t>
            </w:r>
          </w:p>
        </w:tc>
        <w:tc>
          <w:tcPr>
            <w:tcW w:type="dxa" w:w="7257"/>
          </w:tcPr>
          <w:p>
            <w:pPr>
              <w:spacing w:after="20" w:before="20"/>
            </w:pPr>
            <w:r/>
            <w:r>
              <w:rPr>
                <w:rFonts w:ascii="Arial" w:hAnsi="Arial"/>
                <w:b w:val="0"/>
                <w:sz w:val="17"/>
              </w:rPr>
              <w:t>Aucun programme formalisé, contenus définis par chaque formateur, prérequis implicites</w:t>
            </w:r>
          </w:p>
        </w:tc>
      </w:tr>
    </w:tbl>
    <w:p>
      <w:pPr>
        <w:spacing w:before="0" w:after="120"/>
      </w:pPr>
    </w:p>
    <w:p>
      <w:pPr>
        <w:spacing w:before="200" w:after="80"/>
      </w:pPr>
      <w:r>
        <w:rPr>
          <w:rFonts w:ascii="Arial" w:hAnsi="Arial"/>
          <w:b/>
          <w:i w:val="0"/>
          <w:color w:val="1F3864"/>
          <w:sz w:val="25"/>
        </w:rPr>
        <w:t>Mon projet aujourd'hui</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1134"/>
            <w:shd w:val="clear" w:fill="1F3864"/>
          </w:tcPr>
          <w:p>
            <w:pPr>
              <w:spacing w:after="20" w:before="20"/>
            </w:pPr>
            <w:r/>
            <w:r>
              <w:rPr>
                <w:rFonts w:ascii="Arial" w:hAnsi="Arial"/>
                <w:b/>
                <w:color w:val="FFFFFF"/>
                <w:sz w:val="16"/>
              </w:rPr>
              <w:t>Date</w:t>
            </w:r>
          </w:p>
        </w:tc>
        <w:tc>
          <w:tcPr>
            <w:tcW w:type="dxa" w:w="2948"/>
            <w:shd w:val="clear" w:fill="1F3864"/>
          </w:tcPr>
          <w:p>
            <w:pPr>
              <w:spacing w:after="20" w:before="20"/>
            </w:pPr>
            <w:r/>
            <w:r>
              <w:rPr>
                <w:rFonts w:ascii="Arial" w:hAnsi="Arial"/>
                <w:b/>
                <w:color w:val="FFFFFF"/>
                <w:sz w:val="16"/>
              </w:rPr>
              <w:t>Ce qui est clair</w:t>
            </w:r>
          </w:p>
        </w:tc>
        <w:tc>
          <w:tcPr>
            <w:tcW w:type="dxa" w:w="2721"/>
            <w:shd w:val="clear" w:fill="1F3864"/>
          </w:tcPr>
          <w:p>
            <w:pPr>
              <w:spacing w:after="20" w:before="20"/>
            </w:pPr>
            <w:r/>
            <w:r>
              <w:rPr>
                <w:rFonts w:ascii="Arial" w:hAnsi="Arial"/>
                <w:b/>
                <w:color w:val="FFFFFF"/>
                <w:sz w:val="16"/>
              </w:rPr>
              <w:t>Ce qui reste flou</w:t>
            </w:r>
          </w:p>
        </w:tc>
        <w:tc>
          <w:tcPr>
            <w:tcW w:type="dxa" w:w="2948"/>
            <w:shd w:val="clear" w:fill="1F3864"/>
          </w:tcPr>
          <w:p>
            <w:pPr>
              <w:spacing w:after="20" w:before="20"/>
            </w:pPr>
            <w:r/>
            <w:r>
              <w:rPr>
                <w:rFonts w:ascii="Arial" w:hAnsi="Arial"/>
                <w:b/>
                <w:color w:val="FFFFFF"/>
                <w:sz w:val="16"/>
              </w:rPr>
              <w:t>Ce qui a changé</w:t>
            </w:r>
          </w:p>
        </w:tc>
      </w:tr>
      <w:tr>
        <w:tc>
          <w:tcPr>
            <w:tcW w:type="dxa" w:w="1134"/>
          </w:tcPr>
          <w:p>
            <w:pPr>
              <w:spacing w:after="20" w:before="20"/>
            </w:pPr>
            <w:r/>
            <w:r>
              <w:rPr>
                <w:rFonts w:ascii="Arial" w:hAnsi="Arial"/>
                <w:b w:val="0"/>
                <w:sz w:val="16"/>
              </w:rPr>
              <w:t>17/03/2026</w:t>
            </w:r>
          </w:p>
        </w:tc>
        <w:tc>
          <w:tcPr>
            <w:tcW w:type="dxa" w:w="2948"/>
          </w:tcPr>
          <w:p>
            <w:pPr>
              <w:spacing w:after="20" w:before="20"/>
            </w:pPr>
            <w:r/>
            <w:r>
              <w:rPr>
                <w:rFonts w:ascii="Arial" w:hAnsi="Arial"/>
                <w:b w:val="0"/>
                <w:sz w:val="16"/>
              </w:rPr>
              <w:t>Le périmètre est arrêté et le diagnostic est écrit. Je sais ce que la commande demande et ce que le besoin révèle.</w:t>
            </w:r>
          </w:p>
        </w:tc>
        <w:tc>
          <w:tcPr>
            <w:tcW w:type="dxa" w:w="2721"/>
          </w:tcPr>
          <w:p>
            <w:pPr>
              <w:spacing w:after="20" w:before="20"/>
            </w:pPr>
            <w:r/>
            <w:r>
              <w:rPr>
                <w:rFonts w:ascii="Arial" w:hAnsi="Arial"/>
                <w:b w:val="0"/>
                <w:sz w:val="16"/>
              </w:rPr>
              <w:t>La manière d'obtenir l'adhésion des formateurs, et le volume réel de production que le projet représente.</w:t>
            </w:r>
          </w:p>
        </w:tc>
        <w:tc>
          <w:tcPr>
            <w:tcW w:type="dxa" w:w="2948"/>
          </w:tcPr>
          <w:p>
            <w:pPr>
              <w:spacing w:after="20" w:before="20"/>
            </w:pPr>
            <w:r/>
            <w:r>
              <w:rPr>
                <w:rFonts w:ascii="Arial" w:hAnsi="Arial"/>
                <w:b w:val="0"/>
                <w:sz w:val="16"/>
              </w:rPr>
              <w:t>J'ai cessé de décrire mon projet par ses livrables pour le décrire par le problème qu'il traite.</w:t>
            </w:r>
          </w:p>
        </w:tc>
      </w:tr>
      <w:tr>
        <w:tc>
          <w:tcPr>
            <w:tcW w:type="dxa" w:w="1134"/>
          </w:tcPr>
          <w:p>
            <w:pPr>
              <w:spacing w:after="20" w:before="20"/>
            </w:pPr>
            <w:r/>
            <w:r>
              <w:rPr>
                <w:rFonts w:ascii="Arial" w:hAnsi="Arial"/>
                <w:b w:val="0"/>
                <w:sz w:val="16"/>
              </w:rPr>
              <w:t>30/06/2026</w:t>
            </w:r>
          </w:p>
        </w:tc>
        <w:tc>
          <w:tcPr>
            <w:tcW w:type="dxa" w:w="2948"/>
          </w:tcPr>
          <w:p>
            <w:pPr>
              <w:spacing w:after="20" w:before="20"/>
            </w:pPr>
            <w:r/>
            <w:r>
              <w:rPr>
                <w:rFonts w:ascii="Arial" w:hAnsi="Arial"/>
                <w:b w:val="0"/>
                <w:sz w:val="16"/>
              </w:rPr>
              <w:t>Le référentiel est validé, la collecte est close, la production est autorisée. Les indicateurs sont arrêtés et tiennent à ce que je maîtrise.</w:t>
            </w:r>
          </w:p>
        </w:tc>
        <w:tc>
          <w:tcPr>
            <w:tcW w:type="dxa" w:w="2721"/>
          </w:tcPr>
          <w:p>
            <w:pPr>
              <w:spacing w:after="20" w:before="20"/>
            </w:pPr>
            <w:r/>
            <w:r>
              <w:rPr>
                <w:rFonts w:ascii="Arial" w:hAnsi="Arial"/>
                <w:b w:val="0"/>
                <w:sz w:val="16"/>
              </w:rPr>
              <w:t>Si l'appareil documentaire sera réellement utilisé, et à quel prix pour moi la production va se faire.</w:t>
            </w:r>
          </w:p>
        </w:tc>
        <w:tc>
          <w:tcPr>
            <w:tcW w:type="dxa" w:w="2948"/>
          </w:tcPr>
          <w:p>
            <w:pPr>
              <w:spacing w:after="20" w:before="20"/>
            </w:pPr>
            <w:r/>
            <w:r>
              <w:rPr>
                <w:rFonts w:ascii="Arial" w:hAnsi="Arial"/>
                <w:b w:val="0"/>
                <w:sz w:val="16"/>
              </w:rPr>
              <w:t>Le périmètre a doublé, l'application est devenue un chantier à part entière, et le calendrier a glissé sans que la rentrée bouge.</w:t>
            </w:r>
          </w:p>
        </w:tc>
      </w:tr>
      <w:tr>
        <w:tc>
          <w:tcPr>
            <w:tcW w:type="dxa" w:w="1134"/>
          </w:tcPr>
          <w:p>
            <w:pPr>
              <w:spacing w:after="20" w:before="20"/>
            </w:pPr>
            <w:r/>
            <w:r>
              <w:rPr>
                <w:rFonts w:ascii="Arial" w:hAnsi="Arial"/>
                <w:b w:val="0"/>
                <w:sz w:val="16"/>
              </w:rPr>
              <w:t>21/08/2026</w:t>
            </w:r>
          </w:p>
        </w:tc>
        <w:tc>
          <w:tcPr>
            <w:tcW w:type="dxa" w:w="2948"/>
          </w:tcPr>
          <w:p>
            <w:pPr>
              <w:spacing w:after="20" w:before="20"/>
            </w:pPr>
            <w:r/>
            <w:r>
              <w:rPr>
                <w:rFonts w:ascii="Arial" w:hAnsi="Arial"/>
                <w:b w:val="0"/>
                <w:sz w:val="16"/>
              </w:rPr>
              <w:t>Tout est livré ou en voie de l'être, et la rentrée se fera sur le nouveau référentiel. Les écarts sont mesurés et documentés.</w:t>
            </w:r>
          </w:p>
        </w:tc>
        <w:tc>
          <w:tcPr>
            <w:tcW w:type="dxa" w:w="2721"/>
          </w:tcPr>
          <w:p>
            <w:pPr>
              <w:spacing w:after="20" w:before="20"/>
            </w:pPr>
            <w:r/>
            <w:r>
              <w:rPr>
                <w:rFonts w:ascii="Arial" w:hAnsi="Arial"/>
                <w:b w:val="0"/>
                <w:sz w:val="16"/>
              </w:rPr>
              <w:t>Ce que les formateurs feront des fiches à partir de la rentrée, et si l'établissement tirera les conséquences de l'écart de charge.</w:t>
            </w:r>
          </w:p>
        </w:tc>
        <w:tc>
          <w:tcPr>
            <w:tcW w:type="dxa" w:w="2948"/>
          </w:tcPr>
          <w:p>
            <w:pPr>
              <w:spacing w:after="20" w:before="20"/>
            </w:pPr>
            <w:r/>
            <w:r>
              <w:rPr>
                <w:rFonts w:ascii="Arial" w:hAnsi="Arial"/>
                <w:b w:val="0"/>
                <w:sz w:val="16"/>
              </w:rPr>
              <w:t>J'ai appris à mesurer un écart au lieu de l'absorber en silence, même quand je choisis de l'absorber quand même.</w:t>
            </w:r>
          </w:p>
        </w:tc>
      </w:tr>
    </w:tbl>
    <w:p>
      <w:pPr>
        <w:spacing w:before="0" w:after="120"/>
      </w:pPr>
    </w:p>
    <w:p>
      <w:pPr>
        <w:spacing w:before="200" w:after="80"/>
      </w:pPr>
      <w:r>
        <w:rPr>
          <w:rFonts w:ascii="Arial" w:hAnsi="Arial"/>
          <w:b/>
          <w:i w:val="0"/>
          <w:color w:val="1F3864"/>
          <w:sz w:val="25"/>
        </w:rPr>
        <w:t>Entrées par séance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1 · Accueil et démarrage</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24/02/2026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C'est la séance où je dois dire ce que je vais conduire, et où je découvre que le mot projet ne recouvre pas la même chose pour tout le monde.</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Un projet se distingue d'une activité par sa finalité, sa temporalité et sa part d'incertitude. La formation-action suppose d'avancer et d'analyser en même temps, pas d'analyser après.</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Je présente ma mission : construire le programme des deux premières années pour préparer la certification de fin de cycle. En écoutant les autres auditeurs, j'ai senti que je ne parlais pas tout à fait de la même chose qu'eux, sans arriver à dire pourquoi.</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Ce décalage, je le perçois sans savoir le nommer. Il me faudra le diagnostic de mars et le retour de l'encadrante pour mettre un mot dessus : je décris une commande, pas encore un projet.</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Ce que la direction attend, ce sont des documents. Ce dont l'école a besoin, c'est que les étudiants réussissent en fin de cycle. Les deux ne se recouvrent pas.</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Prendre le temps du diagnostic avant de produire, alors que la pression calendaire pousse à l'inverse.</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Traiter la commande comme un point de départ à interroger, pas comme un cahier des charges.</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Conduire le diagnostic et formaliser l'analyse du besoin.</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24 février</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4 · Retour sur les diagnostics</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10/03/2026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Confronter mon diagnostic à ceux des autres auditeurs, sur des terrains très différents du mien.</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Un diagnostic n'est pas un état des lieux : c'est une lecture qui prépare une décision. Et la distinction entre demande et besoin structure tout le reste.</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Mon inventaire des contenus enseignés est un état des lieux. Il lui manque la lecture : pourquoi les étudiants arrivent-ils mal préparés, et pas seulement ce qui est enseigné.</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Comment établir un besoin sans le déduire seulement de ma propre analyse ?</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Je suis à la fois formateur dans ces parcours et concepteur du programme. Mon diagnostic est nourri par ce que j'observe, et biaisé par la même chose.</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Croiser plusieurs sources : les référentiels, les cahiers de texte, les échanges avec les formateurs, mes propres observations.</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Écrire le diagnostic en distinguant explicitement ce que la demande dit et ce que le besoin révèle.</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Rédiger le document de diagnostic et le soumettre à l'encadrante.</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10 mars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6 · Les outils de la démarche projet</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17/03/2026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Je pitche mon cadre logique devant le groupe, et j'envoie mon diagnostic à l'encadrante le jour même.</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Le cadre logique articule objectifs, résultats, activités et indicateurs. L'exercice du pitch révèle immédiatement ce qui n'est pas clair.</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Je décris le problème sans hésiter : pas de programme structuré, chaque formateur choisit, des contenus répétés et d'autres jamais vus, des étudiants qui arrivent en fin de cycle sans être prêts. Mais quand on me demande ce qui se passe si ça marche, je réponds moins nettement.</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Le retour écrit reçu le jour même est net : mon projet reste très orienté vers la production de livrables. En quoi ces livrables vont-ils transformer les pratiques ? Qu'est-ce qui garantit leur appropriation ?</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Ce retour formule ce que je sentais depuis la première séance sans parvenir à le dire. Il ne m'apprend pas quelque chose que j'ignorais : il me donne les mots d'une gêne que je n'arrivais pas à nommer. Produire beaucoup n'est pas transformer.</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Déplacer le centre de gravité du projet : de ce que je produis vers ce que les formateurs en feront.</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Reformuler la problématique autour de l'appropriation, pas de la production.</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Retravailler la problématique et préparer le RACI.</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Diagnostic envoyé le 17 mars, retour écrit de l'encadrante le même jour</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10 · Échanges et outils de pilotage</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31/03/2026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L'encadrante m'interroge en direct pour construire mon RACI, question par question.</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Un RACI ne se remplit pas seul : il se construit en répondant à qui fait, qui valide, qui est consulté, qui est informé. Et il fait apparaître ce qu'on n'avait pas vu.</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En répondant, je pose par écrit un circuit que je connaissais déjà : deux niveaux de validation, dont le second est externe à l'établissement. Je le savais et je n'en avais tiré aucune conséquence sur ma méthode.</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C'est en le posant par écrit que je comprends qu'il faut solliciter le certificateur en amont, pendant la conception, plutôt que de lui soumettre un travail achevé. Et je vois que ma chaîne de décision sort du périmètre que je pilote.</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Ma légitimité ne vient d'aucune ligne hiérarchique. Elle vient de ce que je produis, ce qui est fragile : si la qualité baisse, l'autorité disparaît.</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Assumer une autorité fonctionnelle et non hiérarchique, et en tirer les conséquences sur la méthode.</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Consulter individuellement plutôt que prescrire collectivement.</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Formaliser le RACI et préparer la collecte auprès des formateurs.</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31 mars, RACI construit à l'oral</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12 · Pilotage, rôles et coordination</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07/04/2026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La séance porte sur la coordination d'acteurs sans lien hiérarchique, ce qui est exactement ma situation.</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Le management transversal ne repose pas sur la prescription mais sur la négociation et la mise en visibilité. Le RACI et le plan de communication en sont les outils.</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Le premier comité pédagogique de la veille a montré ce que les formateurs craignent : que leur module change de contenu sans eux.</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Comment obtenir des contributions de personnes qui n'ont rien demandé ?</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Leur demander de contribuer à mon projet, c'est leur demander un effort pour quelque chose qui n'est pas le leur.</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Chercher ce que la contribution leur apporte, plutôt que de la présenter comme un service rendu au projet.</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Lier explicitement la déclaration des disponibilités à la construction du planning de chacun.</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Lancer la collecte et suivre le taux de réponse.</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7 avril</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16 · Effets institutionnels et managériaux</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21/04/2026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J'expose mes contraintes et mes leviers devant le groupe, et je reçois un avertissement que je n'attendais pas.</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Les contraintes d'un projet ne se subissent pas toutes de la même façon : certaines se contournent, d'autres se planifient, d'autres se renégocient.</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J'expose la contrainte d'un jour par semaine et l'absence d'autorité hiérarchique. Je décris mes leviers : priorisation séquentielle, approche itérative, qualité des livrables comme substitut d'autorité.</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L'encadrante met en garde : attention à ce qu'on ne me fasse pas porter toute la réussite du projet, et si l'équipe a un problème de management, ce n'est pas à moi de faire le travail du coordinateur.</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Elle met des mots sur quelque chose que je m'interdisais de formuler : je compense par mon temps personnel une insuffisance de moyens que personne n'a actée. Tant que je l'absorbe, l'écart n'existe pour personne.</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Je choisis de continuer, parce que la rentrée ne se négocie pas. Mais je commence à compter, et c'est ce décompte qui rendra le bilan honnête.</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Suivre séparément le temps contractuel et le temps hors contrat.</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Tenir le décompte de la charge réelle jusqu'à la clôture.</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21 avril</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20 · Les outils d'évaluation</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05/05/2026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Je propose mes indicateurs, l'encadrante en écarte un et me montre pourquoi.</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Un indicateur doit être relié à ce qu'on maîtrise. La distinction entre pertinence, efficacité et efficience organise le dispositif d'évaluation.</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Je propose la couverture des prérequis, le taux de réussite en sortie, le taux de passage, et le taux d'insertion à six mois après la fin du cycle.</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L'encadrante écarte le dernier : des indicateurs trop déconnectés de ce que je fais pendant la formation. Un mauvais taux d'insertion tenant à une crise économique conduirait à remettre en cause un déroulé qui n'y est pour rien.</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Je confondais mesurer l'impact et piloter un projet. Un taux d'insertion dépend du marché de l'emploi bien plus que de mon ordonnancement de modules : le suivre m'aurait fait remettre en cause un déroulé qui n'y est pour rien. Elle interroge aussi ma conviction que l'obtention d'une qualification prouve l'acquisition d'une compétence.</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Ne conserver que les indicateurs sur lesquels le projet a prise.</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Retirer l'indicateur d'insertion et documenter le motif.</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Réviser le cadre logique et préparer le premier jalon.</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5 mai</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23 · Retours d'expérience et ajustements</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19/05/2026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La séance porte sur les écarts entre le projet prescrit et le projet réel, et je dépose mon premier jalon.</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L'analyse réflexive ne consiste pas à constater un écart mais à le documenter, à le challenger et à en tirer une décision. C'est ce qui distingue la conduite de l'exécution.</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Mes écarts sont nombreux : périmètre documentaire bien supérieur au prévu, réponses partielles à la collecte, calendrier qui glisse.</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Est-ce que je documente mes écarts ou est-ce que je les absorbe en silence ?</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Absorber un écart le fait disparaître des comptes. Le documenter le rend visible, y compris ce qu'il dit de mes propres choix.</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Tenir un registre des écarts et le porter en comité, même sans demander de moyens.</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Inscrire l'écart de charge au suivi budgétaire plutôt que de le taire.</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Déposer le jalon et préparer la revue d'expert.</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19 mai, dépôt du premier jalon</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27 · Présentation collective des projets</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02/06/2026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Présenter le projet en quelques minutes devant le groupe, ce qui oblige à trancher ce qui compte.</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Un pitch révèle la hiérarchie réelle de ce qu'on a compris de son propre projet. Ce qu'on met en premier est ce qu'on croit central.</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Je commence par le problème des étudiants mal préparés, pas par les documents. Le déplacement demandé en mars a fini par passer dans ma façon de raconter.</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Qu'est-ce qui, dans ce projet, tiendra après moi ?</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L'appareil documentaire est achevé mais son appropriation ne l'est pas. Un programme parfaitement écrit et non appliqué serait un échec complet.</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Faire de la relecture croisée par les formateurs une étape obligée, pas une option.</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Organiser la relecture croisée avant la fin de la production.</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Engager la production des fiches et la relecture.</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2 juin</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2835"/>
            <w:shd w:val="clear" w:fill="1F3864"/>
          </w:tcPr>
          <w:p>
            <w:pPr>
              <w:spacing w:after="20" w:before="20"/>
            </w:pPr>
            <w:r/>
            <w:r>
              <w:rPr>
                <w:rFonts w:ascii="Arial" w:hAnsi="Arial"/>
                <w:b/>
                <w:color w:val="FFFFFF"/>
                <w:sz w:val="17"/>
              </w:rPr>
              <w:t>Séance</w:t>
            </w:r>
          </w:p>
        </w:tc>
        <w:tc>
          <w:tcPr>
            <w:tcW w:type="dxa" w:w="6917"/>
            <w:shd w:val="clear" w:fill="1F3864"/>
          </w:tcPr>
          <w:p>
            <w:pPr>
              <w:spacing w:after="20" w:before="20"/>
            </w:pPr>
            <w:r/>
            <w:r>
              <w:rPr>
                <w:rFonts w:ascii="Arial" w:hAnsi="Arial"/>
                <w:b/>
                <w:color w:val="FFFFFF"/>
                <w:sz w:val="17"/>
              </w:rPr>
              <w:t>Séance 30 · Bilan collectif de la formation</w:t>
            </w:r>
          </w:p>
        </w:tc>
      </w:tr>
      <w:tr>
        <w:tc>
          <w:tcPr>
            <w:tcW w:type="dxa" w:w="2835"/>
          </w:tcPr>
          <w:p>
            <w:pPr>
              <w:spacing w:after="20" w:before="20"/>
            </w:pPr>
            <w:r/>
            <w:r>
              <w:rPr>
                <w:rFonts w:ascii="Arial" w:hAnsi="Arial"/>
                <w:b w:val="0"/>
                <w:sz w:val="17"/>
              </w:rPr>
              <w:t>Date</w:t>
            </w:r>
          </w:p>
        </w:tc>
        <w:tc>
          <w:tcPr>
            <w:tcW w:type="dxa" w:w="6917"/>
          </w:tcPr>
          <w:p>
            <w:pPr>
              <w:spacing w:after="20" w:before="20"/>
            </w:pPr>
            <w:r/>
            <w:r>
              <w:rPr>
                <w:rFonts w:ascii="Arial" w:hAnsi="Arial"/>
                <w:b w:val="0"/>
                <w:sz w:val="17"/>
              </w:rPr>
              <w:t>18/06/2026</w:t>
            </w:r>
          </w:p>
        </w:tc>
      </w:tr>
      <w:tr>
        <w:tc>
          <w:tcPr>
            <w:tcW w:type="dxa" w:w="2835"/>
          </w:tcPr>
          <w:p>
            <w:pPr>
              <w:spacing w:after="20" w:before="20"/>
            </w:pPr>
            <w:r/>
            <w:r>
              <w:rPr>
                <w:rFonts w:ascii="Arial" w:hAnsi="Arial"/>
                <w:b w:val="0"/>
                <w:sz w:val="17"/>
              </w:rPr>
              <w:t>Pourquoi cette séance compte pour mon projet</w:t>
            </w:r>
          </w:p>
        </w:tc>
        <w:tc>
          <w:tcPr>
            <w:tcW w:type="dxa" w:w="6917"/>
          </w:tcPr>
          <w:p>
            <w:pPr>
              <w:spacing w:after="20" w:before="20"/>
            </w:pPr>
            <w:r/>
            <w:r>
              <w:rPr>
                <w:rFonts w:ascii="Arial" w:hAnsi="Arial"/>
                <w:b w:val="0"/>
                <w:sz w:val="17"/>
              </w:rPr>
              <w:t>Dernière séance, consacrée à l'analyse réflexive et aux leçons apprises.</w:t>
            </w:r>
          </w:p>
        </w:tc>
      </w:tr>
      <w:tr>
        <w:tc>
          <w:tcPr>
            <w:tcW w:type="dxa" w:w="2835"/>
          </w:tcPr>
          <w:p>
            <w:pPr>
              <w:spacing w:after="20" w:before="20"/>
            </w:pPr>
            <w:r/>
            <w:r>
              <w:rPr>
                <w:rFonts w:ascii="Arial" w:hAnsi="Arial"/>
                <w:b w:val="0"/>
                <w:sz w:val="17"/>
              </w:rPr>
              <w:t>Ce que j'ai retenu</w:t>
            </w:r>
          </w:p>
        </w:tc>
        <w:tc>
          <w:tcPr>
            <w:tcW w:type="dxa" w:w="6917"/>
          </w:tcPr>
          <w:p>
            <w:pPr>
              <w:spacing w:after="20" w:before="20"/>
            </w:pPr>
            <w:r/>
            <w:r>
              <w:rPr>
                <w:rFonts w:ascii="Arial" w:hAnsi="Arial"/>
                <w:b w:val="0"/>
                <w:sz w:val="17"/>
              </w:rPr>
              <w:t>La réflexivité s'installe par la pratique, pas par la théorie. Et les techniques de conduite de projet se transfèrent d'un domaine à un autre, à condition d'accepter qu'elles changent de forme.</w:t>
            </w:r>
          </w:p>
        </w:tc>
      </w:tr>
      <w:tr>
        <w:tc>
          <w:tcPr>
            <w:tcW w:type="dxa" w:w="2835"/>
          </w:tcPr>
          <w:p>
            <w:pPr>
              <w:spacing w:after="20" w:before="20"/>
            </w:pPr>
            <w:r/>
            <w:r>
              <w:rPr>
                <w:rFonts w:ascii="Arial" w:hAnsi="Arial"/>
                <w:b w:val="0"/>
                <w:sz w:val="17"/>
              </w:rPr>
              <w:t>Lien avec mon projet</w:t>
            </w:r>
          </w:p>
        </w:tc>
        <w:tc>
          <w:tcPr>
            <w:tcW w:type="dxa" w:w="6917"/>
          </w:tcPr>
          <w:p>
            <w:pPr>
              <w:spacing w:after="20" w:before="20"/>
            </w:pPr>
            <w:r/>
            <w:r>
              <w:rPr>
                <w:rFonts w:ascii="Arial" w:hAnsi="Arial"/>
                <w:b w:val="0"/>
                <w:sz w:val="17"/>
              </w:rPr>
              <w:t>Je le dis en séance : beaucoup de techniques sont communes, et c'est même plus précis dans les projets informatiques ; le secteur de la formation gagnerait à employer ces outils avec plus de rigueur. Mes réflexes se sont effectivement transférés : découpage, jalons, traçabilité, outillage.</w:t>
            </w:r>
          </w:p>
        </w:tc>
      </w:tr>
      <w:tr>
        <w:tc>
          <w:tcPr>
            <w:tcW w:type="dxa" w:w="2835"/>
          </w:tcPr>
          <w:p>
            <w:pPr>
              <w:spacing w:after="20" w:before="20"/>
            </w:pPr>
            <w:r/>
            <w:r>
              <w:rPr>
                <w:rFonts w:ascii="Arial" w:hAnsi="Arial"/>
                <w:b w:val="0"/>
                <w:sz w:val="17"/>
              </w:rPr>
              <w:t>Ce qui me pose question</w:t>
            </w:r>
          </w:p>
        </w:tc>
        <w:tc>
          <w:tcPr>
            <w:tcW w:type="dxa" w:w="6917"/>
          </w:tcPr>
          <w:p>
            <w:pPr>
              <w:spacing w:after="20" w:before="20"/>
            </w:pPr>
            <w:r/>
            <w:r>
              <w:rPr>
                <w:rFonts w:ascii="Arial" w:hAnsi="Arial"/>
                <w:b w:val="0"/>
                <w:sz w:val="17"/>
              </w:rPr>
              <w:t>Qu'est-ce que ce projet m'aura appris que je ne savais pas déjà ?</w:t>
            </w:r>
          </w:p>
        </w:tc>
      </w:tr>
      <w:tr>
        <w:tc>
          <w:tcPr>
            <w:tcW w:type="dxa" w:w="2835"/>
          </w:tcPr>
          <w:p>
            <w:pPr>
              <w:spacing w:after="20" w:before="20"/>
            </w:pPr>
            <w:r/>
            <w:r>
              <w:rPr>
                <w:rFonts w:ascii="Arial" w:hAnsi="Arial"/>
                <w:b w:val="0"/>
                <w:sz w:val="17"/>
              </w:rPr>
              <w:t>Tensions ou dilemmes repérés</w:t>
            </w:r>
          </w:p>
        </w:tc>
        <w:tc>
          <w:tcPr>
            <w:tcW w:type="dxa" w:w="6917"/>
          </w:tcPr>
          <w:p>
            <w:pPr>
              <w:spacing w:after="20" w:before="20"/>
            </w:pPr>
            <w:r/>
            <w:r>
              <w:rPr>
                <w:rFonts w:ascii="Arial" w:hAnsi="Arial"/>
                <w:b w:val="0"/>
                <w:sz w:val="17"/>
              </w:rPr>
              <w:t>Ce qui ne s'est pas transféré, c'est la posture. En informatique, une tâche assignée est une tâche due. Ici, la réussite dépendait de gens qui pouvaient simplement ne pas répondre. Je savais conduire un projet ; je ne savais pas conduire un projet sans autorité.</w:t>
            </w:r>
          </w:p>
        </w:tc>
      </w:tr>
      <w:tr>
        <w:tc>
          <w:tcPr>
            <w:tcW w:type="dxa" w:w="2835"/>
          </w:tcPr>
          <w:p>
            <w:pPr>
              <w:spacing w:after="20" w:before="20"/>
            </w:pPr>
            <w:r/>
            <w:r>
              <w:rPr>
                <w:rFonts w:ascii="Arial" w:hAnsi="Arial"/>
                <w:b w:val="0"/>
                <w:sz w:val="17"/>
              </w:rPr>
              <w:t>Le choix que je fais</w:t>
            </w:r>
          </w:p>
        </w:tc>
        <w:tc>
          <w:tcPr>
            <w:tcW w:type="dxa" w:w="6917"/>
          </w:tcPr>
          <w:p>
            <w:pPr>
              <w:spacing w:after="20" w:before="20"/>
            </w:pPr>
            <w:r/>
            <w:r>
              <w:rPr>
                <w:rFonts w:ascii="Arial" w:hAnsi="Arial"/>
                <w:b w:val="0"/>
                <w:sz w:val="17"/>
              </w:rPr>
              <w:t>Reconnaître que la contribution s'obtient et ne se prescrit pas.</w:t>
            </w:r>
          </w:p>
        </w:tc>
      </w:tr>
      <w:tr>
        <w:tc>
          <w:tcPr>
            <w:tcW w:type="dxa" w:w="2835"/>
          </w:tcPr>
          <w:p>
            <w:pPr>
              <w:spacing w:after="20" w:before="20"/>
            </w:pPr>
            <w:r/>
            <w:r>
              <w:rPr>
                <w:rFonts w:ascii="Arial" w:hAnsi="Arial"/>
                <w:b w:val="0"/>
                <w:sz w:val="17"/>
              </w:rPr>
              <w:t>Ce que je décide pour mon projet</w:t>
            </w:r>
          </w:p>
        </w:tc>
        <w:tc>
          <w:tcPr>
            <w:tcW w:type="dxa" w:w="6917"/>
          </w:tcPr>
          <w:p>
            <w:pPr>
              <w:spacing w:after="20" w:before="20"/>
            </w:pPr>
            <w:r/>
            <w:r>
              <w:rPr>
                <w:rFonts w:ascii="Arial" w:hAnsi="Arial"/>
                <w:b w:val="0"/>
                <w:sz w:val="17"/>
              </w:rPr>
              <w:t>Formuler les leçons apprises pour le bilan de projet.</w:t>
            </w:r>
          </w:p>
        </w:tc>
      </w:tr>
      <w:tr>
        <w:tc>
          <w:tcPr>
            <w:tcW w:type="dxa" w:w="2835"/>
          </w:tcPr>
          <w:p>
            <w:pPr>
              <w:spacing w:after="20" w:before="20"/>
            </w:pPr>
            <w:r/>
            <w:r>
              <w:rPr>
                <w:rFonts w:ascii="Arial" w:hAnsi="Arial"/>
                <w:b w:val="0"/>
                <w:sz w:val="17"/>
              </w:rPr>
              <w:t>Prochaine action</w:t>
            </w:r>
          </w:p>
        </w:tc>
        <w:tc>
          <w:tcPr>
            <w:tcW w:type="dxa" w:w="6917"/>
          </w:tcPr>
          <w:p>
            <w:pPr>
              <w:spacing w:after="20" w:before="20"/>
            </w:pPr>
            <w:r/>
            <w:r>
              <w:rPr>
                <w:rFonts w:ascii="Arial" w:hAnsi="Arial"/>
                <w:b w:val="0"/>
                <w:sz w:val="17"/>
              </w:rPr>
              <w:t>Écrire le bilan et préparer le rapport.</w:t>
            </w:r>
          </w:p>
        </w:tc>
      </w:tr>
      <w:tr>
        <w:tc>
          <w:tcPr>
            <w:tcW w:type="dxa" w:w="2835"/>
          </w:tcPr>
          <w:p>
            <w:pPr>
              <w:spacing w:after="20" w:before="20"/>
            </w:pPr>
            <w:r/>
            <w:r>
              <w:rPr>
                <w:rFonts w:ascii="Arial" w:hAnsi="Arial"/>
                <w:b w:val="0"/>
                <w:sz w:val="17"/>
              </w:rPr>
              <w:t>Trace</w:t>
            </w:r>
          </w:p>
        </w:tc>
        <w:tc>
          <w:tcPr>
            <w:tcW w:type="dxa" w:w="6917"/>
          </w:tcPr>
          <w:p>
            <w:pPr>
              <w:spacing w:after="20" w:before="20"/>
            </w:pPr>
            <w:r/>
            <w:r>
              <w:rPr>
                <w:rFonts w:ascii="Arial" w:hAnsi="Arial"/>
                <w:b w:val="0"/>
                <w:sz w:val="17"/>
              </w:rPr>
              <w:t>Transcription de la séance du 18 juin</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que ce journal montre, relu à la fin</w:t>
            </w:r>
          </w:p>
        </w:tc>
      </w:tr>
      <w:tr>
        <w:tc>
          <w:tcPr>
            <w:tcW w:type="dxa" w:w="9752"/>
          </w:tcPr>
          <w:p>
            <w:pPr>
              <w:spacing w:after="60" w:before="20"/>
            </w:pPr>
            <w:r/>
            <w:r>
              <w:rPr>
                <w:rFonts w:ascii="Arial" w:hAnsi="Arial"/>
                <w:b w:val="0"/>
                <w:sz w:val="18"/>
              </w:rPr>
              <w:t>Trois moments ont infléchi la conduite du projet, et les trois sont venus de l'extérieur. Aucun ne m'a appris un fait que j'ignorais : chacun a rendu dicible, donc opposable, quelque chose que je portais sans le formuler. C'est peut-être là l'apport principal d'un accompagnement.</w:t>
            </w:r>
          </w:p>
          <w:p>
            <w:pPr>
              <w:spacing w:after="60"/>
            </w:pPr>
            <w:r>
              <w:rPr>
                <w:rFonts w:ascii="Arial" w:hAnsi="Arial"/>
                <w:b w:val="0"/>
                <w:sz w:val="18"/>
              </w:rPr>
              <w:t>Le retour écrit du 17 mars a donné les mots d'une gêne que j'avais depuis la première séance. Il a déplacé le centre de gravité du projet, de ce que je produis vers ce que les autres en feront. Sans lui, j'aurais livré des documents conformes en croyant avoir réussi.</w:t>
            </w:r>
          </w:p>
          <w:p>
            <w:pPr>
              <w:spacing w:after="60"/>
            </w:pPr>
            <w:r>
              <w:rPr>
                <w:rFonts w:ascii="Arial" w:hAnsi="Arial"/>
                <w:b w:val="0"/>
                <w:sz w:val="18"/>
              </w:rPr>
              <w:t>Le RACI construit à l'oral le 31 mars n'a rien révélé non plus : je connaissais ce circuit de validation. Mais l'écrire m'a fait tirer une conséquence que je n'avais pas tirée, celle de solliciter le certificateur pendant la conception au lieu de lui soumettre un travail achevé. La revue d'expert de mai en découle directement.</w:t>
            </w:r>
          </w:p>
          <w:p>
            <w:pPr>
              <w:spacing w:after="60"/>
            </w:pPr>
            <w:r>
              <w:rPr>
                <w:rFonts w:ascii="Arial" w:hAnsi="Arial"/>
                <w:b w:val="0"/>
                <w:sz w:val="18"/>
              </w:rPr>
              <w:t>L'avertissement du 21 avril, sur le fait de ne pas porter seul la réussite du projet, est celui que j'ai le moins suivi et le plus retenu. Il a nommé ce que je m'interdisais de formuler : je compensais par mon temps personnel une insuffisance de moyens que personne n'avait actée. J'ai continué à absorber l'écart, mais j'ai commencé à le mesurer. C'est ce décompte qui rend le bilan de projet honnête.</w:t>
            </w:r>
          </w:p>
        </w:tc>
      </w:tr>
    </w:tbl>
    <w:p>
      <w:pPr>
        <w:spacing w:before="0" w:after="120"/>
      </w:pPr>
    </w:p>
    <w:sectPr w:rsidR="00FC693F" w:rsidRPr="0006063C" w:rsidSect="00034616">
      <w:headerReference w:type="default" r:id="rId9"/>
      <w:footerReference w:type="default" r:id="rId10"/>
      <w:pgSz w:w="11906" w:h="16838"/>
      <w:pgMar w:top="1417"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Journal de bord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2041"/>
      <w:gridCol w:w="5669"/>
      <w:gridCol w:w="2041"/>
    </w:tblGrid>
    <w:tr>
      <w:tc>
        <w:tcPr>
          <w:tcW w:type="dxa" w:w="3250"/>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3250"/>
        </w:tcPr>
        <w:p>
          <w:pPr>
            <w:spacing w:after="0" w:before="20"/>
            <w:jc w:val="center"/>
          </w:pPr>
          <w:r/>
          <w:r>
            <w:rPr>
              <w:rFonts w:ascii="Arial" w:hAnsi="Arial"/>
              <w:b/>
              <w:color w:val="1F3864"/>
              <w:sz w:val="17"/>
            </w:rPr>
            <w:t>Journal de bord · Conception et conduite de projets de formation</w:t>
          </w:r>
        </w:p>
      </w:tc>
      <w:tc>
        <w:tcPr>
          <w:tcW w:type="dxa" w:w="3250"/>
        </w:tcPr>
        <w:p>
          <w:pPr>
            <w:spacing w:after="0"/>
            <w:jc w:val="right"/>
          </w:pPr>
          <w:r>
            <w:drawing>
              <wp:inline xmlns:a="http://schemas.openxmlformats.org/drawingml/2006/main" xmlns:pic="http://schemas.openxmlformats.org/drawingml/2006/picture">
                <wp:extent cx="771120" cy="151200"/>
                <wp:docPr id="2" name="Picture 2"/>
                <wp:cNvGraphicFramePr>
                  <a:graphicFrameLocks noChangeAspect="1"/>
                </wp:cNvGraphicFramePr>
                <a:graphic>
                  <a:graphicData uri="http://schemas.openxmlformats.org/drawingml/2006/picture">
                    <pic:pic>
                      <pic:nvPicPr>
                        <pic:cNvPr id="0" name="logo_cnam_entete.png"/>
                        <pic:cNvPicPr/>
                      </pic:nvPicPr>
                      <pic:blipFill>
                        <a:blip r:embed="rId2"/>
                        <a:stretch>
                          <a:fillRect/>
                        </a:stretch>
                      </pic:blipFill>
                      <pic:spPr>
                        <a:xfrm>
                          <a:off x="0" y="0"/>
                          <a:ext cx="771120" cy="151200"/>
                        </a:xfrm>
                        <a:prstGeom prst="rect"/>
                      </pic:spPr>
                    </pic:pic>
                  </a:graphicData>
                </a:graphic>
              </wp:inline>
            </w:drawing>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