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Étude d'opportunité</w:t>
            </w:r>
          </w:p>
          <w:p>
            <w:pPr>
              <w:spacing w:after="40"/>
              <w:jc w:val="center"/>
            </w:pPr>
            <w:r>
              <w:rPr>
                <w:rFonts w:ascii="Arial" w:hAnsi="Arial"/>
                <w:color w:val="D5DDEC"/>
                <w:sz w:val="20"/>
              </w:rPr>
              <w:t>Structuration des parcours B1/B2 · filières CDWFS et ASRC · IMIE Paris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Référence</w:t>
            </w:r>
          </w:p>
        </w:tc>
        <w:tc>
          <w:tcPr>
            <w:tcW w:type="dxa" w:w="7143"/>
          </w:tcPr>
          <w:p>
            <w:pPr>
              <w:spacing w:after="40" w:before="20"/>
            </w:pPr>
            <w:r/>
            <w:r>
              <w:rPr>
                <w:rFonts w:ascii="Arial" w:hAnsi="Arial"/>
                <w:b w:val="0"/>
                <w:sz w:val="18"/>
              </w:rPr>
              <w:t>Fiche de poste : harmonisation et ingénierie des parcours B1/B2</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Mohamed EL AFRIT, chargé de missions pédagogiques</w:t>
            </w:r>
          </w:p>
        </w:tc>
      </w:tr>
      <w:tr>
        <w:tc>
          <w:tcPr>
            <w:tcW w:type="dxa" w:w="2608"/>
            <w:shd w:val="clear" w:fill="EAEFF7"/>
          </w:tcPr>
          <w:p>
            <w:pPr>
              <w:spacing w:after="40" w:before="20"/>
            </w:pPr>
            <w:r/>
            <w:r>
              <w:rPr>
                <w:rFonts w:ascii="Arial" w:hAnsi="Arial"/>
                <w:b/>
                <w:color w:val="1F3864"/>
                <w:sz w:val="18"/>
              </w:rPr>
              <w:t>Service / Organisation</w:t>
            </w:r>
          </w:p>
        </w:tc>
        <w:tc>
          <w:tcPr>
            <w:tcW w:type="dxa" w:w="7143"/>
          </w:tcPr>
          <w:p>
            <w:pPr>
              <w:spacing w:after="40" w:before="20"/>
            </w:pPr>
            <w:r/>
            <w:r>
              <w:rPr>
                <w:rFonts w:ascii="Arial" w:hAnsi="Arial"/>
                <w:b w:val="0"/>
                <w:sz w:val="18"/>
              </w:rPr>
              <w:t>IMIE Paris, direction pédagogique</w:t>
            </w:r>
          </w:p>
        </w:tc>
      </w:tr>
      <w:tr>
        <w:tc>
          <w:tcPr>
            <w:tcW w:type="dxa" w:w="2608"/>
            <w:shd w:val="clear" w:fill="EAEFF7"/>
          </w:tcPr>
          <w:p>
            <w:pPr>
              <w:spacing w:after="40" w:before="20"/>
            </w:pPr>
            <w:r/>
            <w:r>
              <w:rPr>
                <w:rFonts w:ascii="Arial" w:hAnsi="Arial"/>
                <w:b/>
                <w:color w:val="1F3864"/>
                <w:sz w:val="18"/>
              </w:rPr>
              <w:t>Décideur</w:t>
            </w:r>
          </w:p>
        </w:tc>
        <w:tc>
          <w:tcPr>
            <w:tcW w:type="dxa" w:w="7143"/>
          </w:tcPr>
          <w:p>
            <w:pPr>
              <w:spacing w:after="40" w:before="20"/>
            </w:pPr>
            <w:r/>
            <w:r>
              <w:rPr>
                <w:rFonts w:ascii="Arial" w:hAnsi="Arial"/>
                <w:b w:val="0"/>
                <w:sz w:val="18"/>
              </w:rPr>
              <w:t>Direction IMIE Paris (directeur, responsable pédagogique)</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Version initiale soumise à la direction</w:t>
            </w:r>
          </w:p>
        </w:tc>
        <w:tc>
          <w:tcPr>
            <w:tcW w:type="dxa" w:w="1701"/>
          </w:tcPr>
          <w:p>
            <w:pPr>
              <w:spacing w:after="40" w:before="20"/>
            </w:pPr>
            <w:r/>
            <w:r>
              <w:rPr>
                <w:rFonts w:ascii="Arial" w:hAnsi="Arial"/>
                <w:b w:val="0"/>
                <w:sz w:val="18"/>
              </w:rPr>
              <w:t>14/11/2025</w:t>
            </w:r>
          </w:p>
        </w:tc>
      </w:tr>
      <w:tr>
        <w:tc>
          <w:tcPr>
            <w:tcW w:type="dxa" w:w="907"/>
          </w:tcPr>
          <w:p>
            <w:pPr>
              <w:spacing w:after="40" w:before="20"/>
            </w:pPr>
            <w:r/>
            <w:r>
              <w:rPr>
                <w:rFonts w:ascii="Arial" w:hAnsi="Arial"/>
                <w:b w:val="0"/>
                <w:sz w:val="18"/>
              </w:rPr>
              <w:t>V1.1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Décision favorable de la direction, budgets validés</w:t>
            </w:r>
          </w:p>
        </w:tc>
        <w:tc>
          <w:tcPr>
            <w:tcW w:type="dxa" w:w="1701"/>
          </w:tcPr>
          <w:p>
            <w:pPr>
              <w:spacing w:after="40" w:before="20"/>
            </w:pPr>
            <w:r/>
            <w:r>
              <w:rPr>
                <w:rFonts w:ascii="Arial" w:hAnsi="Arial"/>
                <w:b w:val="0"/>
                <w:sz w:val="18"/>
              </w:rPr>
              <w:t>08/12/2025</w:t>
            </w:r>
          </w:p>
        </w:tc>
      </w:tr>
      <w:tr>
        <w:tc>
          <w:tcPr>
            <w:tcW w:type="dxa" w:w="907"/>
          </w:tcPr>
          <w:p>
            <w:pPr>
              <w:spacing w:after="40" w:before="20"/>
            </w:pPr>
            <w:r/>
            <w:r>
              <w:rPr>
                <w:rFonts w:ascii="Arial" w:hAnsi="Arial"/>
                <w:b w:val="0"/>
                <w:sz w:val="18"/>
              </w:rPr>
              <w:t>V2.0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Consolidation pour le dossier de conduite de projet</w:t>
            </w:r>
          </w:p>
        </w:tc>
        <w:tc>
          <w:tcPr>
            <w:tcW w:type="dxa" w:w="1701"/>
          </w:tcPr>
          <w:p>
            <w:pPr>
              <w:spacing w:after="40" w:before="20"/>
            </w:pPr>
            <w:r/>
            <w:r>
              <w:rPr>
                <w:rFonts w:ascii="Arial" w:hAnsi="Arial"/>
                <w:b w:val="0"/>
                <w:sz w:val="18"/>
              </w:rPr>
              <w:t>20/08/2026</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Sommaire exécutif</w:t>
            </w:r>
          </w:p>
        </w:tc>
      </w:tr>
      <w:tr>
        <w:tc>
          <w:tcPr>
            <w:tcW w:type="dxa" w:w="9752"/>
          </w:tcPr>
          <w:p>
            <w:pPr>
              <w:spacing w:after="60" w:before="20"/>
            </w:pPr>
            <w:r/>
            <w:r>
              <w:rPr>
                <w:rFonts w:ascii="Arial" w:hAnsi="Arial"/>
                <w:b w:val="0"/>
                <w:sz w:val="19"/>
              </w:rPr>
              <w:t>Les années B1 et B2 des filières CDWFS et ASRC ne disposent d'aucun programme formalisé : les contenus dépendent de chaque formateur, les prérequis sont implicites et les évaluations ne préparent pas à la logique de blocs exigée en troisième année par les titres RNCP 39608 et 39611 portés par le certificateur 3iL. Trois options ont été étudiées : maintenir l'existant, harmoniser a minima la documentation, ou refondre les deux années par rétro-conception depuis les compétences du B3 en outillant la collecte auprès des formateurs. La troisième option est recommandée. Son coût complet valorisé est estimé à environ 59 100 euros, porté pour l'essentiel par du temps interne. Elle sécurise la réussite des étudiants en année de certification, la conformité qualité de l'école et prépare l'ambition d'un titre propre.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État du problème et de l'opportunité</w:t>
            </w:r>
          </w:p>
        </w:tc>
      </w:tr>
      <w:tr>
        <w:tc>
          <w:tcPr>
            <w:tcW w:type="dxa" w:w="9752"/>
          </w:tcPr>
          <w:p>
            <w:pPr>
              <w:spacing w:after="60" w:before="20"/>
            </w:pPr>
            <w:r/>
            <w:r>
              <w:rPr>
                <w:rFonts w:ascii="Arial" w:hAnsi="Arial"/>
                <w:b w:val="0"/>
                <w:sz w:val="19"/>
              </w:rPr>
              <w:t>Trois constats fondent le problème. D'abord, aucun référentiel interne ne décrit ce qu'un étudiant doit savoir en sortie de B1 ou de B2 : chaque formateur choisit ses contenus, des notions sont répétées, d'autres jamais vues. Ensuite, la rupture est brutale en troisième année : les étudiants découvrent la logique de blocs de compétences au moment où elle devient certifiante, et certains échouent faute de prérequis sur un titre qu'ils financent depuis trois ans. Enfin, l'absence de programmes formalisés fragilise l'école en cas d'audit qualité et limite la crédibilité de son offre commerciale.</w:t>
            </w:r>
          </w:p>
          <w:p>
            <w:pPr>
              <w:spacing w:after="60"/>
            </w:pPr>
            <w:r>
              <w:rPr>
                <w:rFonts w:ascii="Arial" w:hAnsi="Arial"/>
                <w:b w:val="0"/>
                <w:sz w:val="19"/>
              </w:rPr>
              <w:t>L'opportunité est double : les référentiels du B3 existent et fournissent une cible objective pour une rétro-conception ; et la direction porte l'ambition, à terme, d'un titre RNCP propre, qui suppose d'avoir démontré la capacité de l'école à construire et piloter des parcours complets.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Objectifs et bénéfices</w:t>
            </w:r>
          </w:p>
        </w:tc>
      </w:tr>
      <w:tr>
        <w:tc>
          <w:tcPr>
            <w:tcW w:type="dxa" w:w="9752"/>
          </w:tcPr>
          <w:p>
            <w:pPr>
              <w:spacing w:after="60" w:before="20"/>
            </w:pPr>
            <w:r/>
            <w:r>
              <w:rPr>
                <w:rFonts w:ascii="Arial" w:hAnsi="Arial"/>
                <w:b w:val="0"/>
                <w:sz w:val="19"/>
              </w:rPr>
              <w:t>Objectifs : doter B1 et B2 d'un référentiel aligné sur 100 % des compétences du B3, produire l'appareil documentaire complet (fiches modules, matrices, plannings, règlement), outiller la collecte et l'affectation des formateurs, et installer un pilotage par indicateurs.</w:t>
            </w:r>
          </w:p>
          <w:p>
            <w:pPr>
              <w:spacing w:after="60"/>
            </w:pPr>
            <w:r>
              <w:rPr>
                <w:rFonts w:ascii="Arial" w:hAnsi="Arial"/>
                <w:b w:val="0"/>
                <w:sz w:val="19"/>
              </w:rPr>
              <w:t>Bénéfices attendus : continuité pédagogique sur trois ans et meilleure réussite en année de certification ; cadre commun opposable pour 25 formateurs ; preuves de conformité mobilisables en audit ; base de données formateurs durable ; socle démontrable pour le futur titre propre ; attractivité renforcée de l'offre.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Analyse des options</w:t>
            </w:r>
          </w:p>
        </w:tc>
      </w:tr>
      <w:tr>
        <w:tc>
          <w:tcPr>
            <w:tcW w:type="dxa" w:w="9752"/>
          </w:tcPr>
          <w:p>
            <w:pPr>
              <w:spacing w:after="60" w:before="20"/>
            </w:pPr>
            <w:r/>
            <w:r>
              <w:rPr>
                <w:rFonts w:ascii="Arial" w:hAnsi="Arial"/>
                <w:b w:val="0"/>
                <w:sz w:val="19"/>
              </w:rPr>
              <w:t>Option 1 · Statu quo. Coût immédiat nul. Le risque demeure entier : échecs en B3, fragilité en audit, écart croissant entre le programme vendu et le programme enseigné. Rejetée.</w:t>
            </w:r>
          </w:p>
          <w:p>
            <w:pPr>
              <w:spacing w:after="60"/>
            </w:pPr>
            <w:r>
              <w:rPr>
                <w:rFonts w:ascii="Arial" w:hAnsi="Arial"/>
                <w:b w:val="0"/>
                <w:sz w:val="19"/>
              </w:rPr>
              <w:t>Option 2 · Harmonisation documentaire minimale. Compiler l'existant des cahiers de texte en un document commun. Charge limitée (environ 15 jours), mais ni l'alignement sur le B3, ni la progression des prérequis, ni l'appropriation par les formateurs ne sont traités : le problème de fond persiste. Rejetée.</w:t>
            </w:r>
          </w:p>
          <w:p>
            <w:pPr>
              <w:spacing w:after="60"/>
            </w:pPr>
            <w:r>
              <w:rPr>
                <w:rFonts w:ascii="Arial" w:hAnsi="Arial"/>
                <w:b w:val="0"/>
                <w:sz w:val="19"/>
              </w:rPr>
              <w:t>Option 3 · Refonte par rétro-conception et outillage (recommandée). Partir des compétences exigées en B3 pour construire l'amont, produire l'appareil documentaire complet et outiller la collecte formateurs. Pour l'outillage, trois sous-options examinées : le processus manuel Excel (gratuit mais non pérenne et coûteux en consolidation), une extension de l'outil de gestion en place, Yparéo (qui ne couvre ni l'auto-évaluation des compétences, ni l'appariement formateur/module attendus par la responsable pédagogique), et le développement interne d'une application dédiée, retenu pour son coût marginal maîtrisé et sa réutilisabilité : ce sera FormaPlanner.</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Recommandation</w:t>
            </w:r>
          </w:p>
        </w:tc>
      </w:tr>
      <w:tr>
        <w:tc>
          <w:tcPr>
            <w:tcW w:type="dxa" w:w="9752"/>
          </w:tcPr>
          <w:p>
            <w:pPr>
              <w:spacing w:after="60" w:before="20"/>
            </w:pPr>
            <w:r/>
            <w:r>
              <w:rPr>
                <w:rFonts w:ascii="Arial" w:hAnsi="Arial"/>
                <w:b w:val="0"/>
                <w:sz w:val="19"/>
              </w:rPr>
              <w:t>Engager l'option 3 : un programme conduit en mode hybride, prédictif pour le volet pédagogique (cible RNCP stable, jalons de validation) et agile pour le volet applicatif (itérations courtes au plus près des besoins de la responsable pédagogique). Démarrage souhaité début novembre 2025, mise en service à la rentrée 2026, sous réserve de la validation des budgets et de la disponibilité des ressources.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Livrables attendus</w:t>
            </w:r>
          </w:p>
        </w:tc>
      </w:tr>
      <w:tr>
        <w:tc>
          <w:tcPr>
            <w:tcW w:type="dxa" w:w="9752"/>
          </w:tcPr>
          <w:p>
            <w:pPr>
              <w:spacing w:after="60" w:before="20"/>
            </w:pPr>
            <w:r/>
            <w:r>
              <w:rPr>
                <w:rFonts w:ascii="Arial" w:hAnsi="Arial"/>
                <w:b w:val="0"/>
                <w:sz w:val="19"/>
              </w:rPr>
              <w:t>Référentiel B1 Tronc Commun et référentiels B2 Full Stack et B2 Cybersécurité · fiches modules détaillées et fiches projet fil rouge · matrices de couverture compétences/modules · ordonnancement et plannings annuels · règlement des examens B1 · application FormaPlanner (collecte des disponibilités et compétences, consolidation, appariement formateur/module, planification) · plan prévisionnel des besoins en formateurs 2026-2027.</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Ressources et parties prenantes</w:t>
            </w:r>
          </w:p>
        </w:tc>
      </w:tr>
      <w:tr>
        <w:tc>
          <w:tcPr>
            <w:tcW w:type="dxa" w:w="9752"/>
          </w:tcPr>
          <w:p>
            <w:pPr>
              <w:spacing w:after="60" w:before="20"/>
            </w:pPr>
            <w:r/>
            <w:r>
              <w:rPr>
                <w:rFonts w:ascii="Arial" w:hAnsi="Arial"/>
                <w:b w:val="0"/>
                <w:sz w:val="19"/>
              </w:rPr>
              <w:t>Chef de projet : chargé de missions pédagogiques, un jour par semaine contractuel. Implication forte de la responsable pédagogique (validation, arbitrages). 25 formateurs consultés. Appuis : assistant pédagogique, équipe commerciale et administrative, technicien informatique interne. Avis d'expert du certificateur 3iL. Budget complet valorisé : environ 59 100 euros (convention 350 euros/jour), dont environ 2 650 euros de coûts directs (hébergement, outils d'IA, impressions).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Évaluation initiale des risques</w:t>
            </w:r>
          </w:p>
        </w:tc>
      </w:tr>
      <w:tr>
        <w:tc>
          <w:tcPr>
            <w:tcW w:type="dxa" w:w="9752"/>
          </w:tcPr>
          <w:p>
            <w:pPr>
              <w:spacing w:after="60" w:before="20"/>
            </w:pPr>
            <w:r/>
            <w:r>
              <w:rPr>
                <w:rFonts w:ascii="Arial" w:hAnsi="Arial"/>
                <w:b w:val="0"/>
                <w:sz w:val="19"/>
              </w:rPr>
              <w:t>Quatre risques dominent à ce stade : la non-appropriation du cadre par des formateurs installés dans leurs contenus ; la contrainte de charge (un jour par semaine pour un périmètre documentaire étendu) ; le calendrier commercial, la campagne de recrutement précédant la conception ; et la concentration du projet sur une personne unique. Ces risques sont repris et traités dans la charte puis le registre des risques du projet.</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Impact en cas de refus du projet</w:t>
            </w:r>
          </w:p>
        </w:tc>
      </w:tr>
      <w:tr>
        <w:tc>
          <w:tcPr>
            <w:tcW w:type="dxa" w:w="9752"/>
          </w:tcPr>
          <w:p>
            <w:pPr>
              <w:spacing w:after="60" w:before="20"/>
            </w:pPr>
            <w:r/>
            <w:r>
              <w:rPr>
                <w:rFonts w:ascii="Arial" w:hAnsi="Arial"/>
                <w:b w:val="0"/>
                <w:sz w:val="19"/>
              </w:rPr>
              <w:t>Le statu quo laisse chaque promotion aborder la certification sans garantie de prérequis : le taux d'échec en B3 reste exposé, la promesse commerciale d'un parcours structuré n'est pas tenue, l'école reste vulnérable en audit qualité, et l'ambition d'un titre propre demeure hors de portée faute de démonstration de capacité d'ingénierie.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Critères de réussite et indicateurs</w:t>
            </w:r>
          </w:p>
        </w:tc>
      </w:tr>
      <w:tr>
        <w:tc>
          <w:tcPr>
            <w:tcW w:type="dxa" w:w="9752"/>
          </w:tcPr>
          <w:p>
            <w:pPr>
              <w:spacing w:after="60" w:before="20"/>
            </w:pPr>
            <w:r/>
            <w:r>
              <w:rPr>
                <w:rFonts w:ascii="Arial" w:hAnsi="Arial"/>
                <w:b w:val="0"/>
                <w:sz w:val="19"/>
              </w:rPr>
              <w:t>Couverture des compétences B3 par la matrice : 100 % · appareil documentaire complet, homogène et contrôlé disponible pour la rentrée · taux de réponse des formateurs à la collecte : au moins 90 % · zéro rupture de prérequis dans l'ordonnancement · pilotage installé : comité pédagogique mensuel, tableau de bord, jalons tenus.</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Étude d'opportunité · Projet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