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Matrice SWOT</w:t>
            </w:r>
          </w:p>
          <w:p>
            <w:pPr>
              <w:spacing w:after="40"/>
              <w:jc w:val="center"/>
            </w:pPr>
            <w:r>
              <w:rPr>
                <w:rFonts w:ascii="Arial" w:hAnsi="Arial"/>
                <w:color w:val="D5DDEC"/>
                <w:sz w:val="20"/>
              </w:rPr>
              <w:t>Analyse stratégique du projet · Structuration des parcours B1/B2 · IMIE Paris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Étude d'opportunité V1.0 · Fiche de poste : harmonisation et ingénierie des parcours B1/B2</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Analyse initiale, jointe à l'étude d'opportunité</w:t>
            </w:r>
          </w:p>
        </w:tc>
        <w:tc>
          <w:tcPr>
            <w:tcW w:type="dxa" w:w="1701"/>
          </w:tcPr>
          <w:p>
            <w:pPr>
              <w:spacing w:after="40" w:before="20"/>
            </w:pPr>
            <w:r/>
            <w:r>
              <w:rPr>
                <w:rFonts w:ascii="Arial" w:hAnsi="Arial"/>
                <w:b w:val="0"/>
                <w:sz w:val="18"/>
              </w:rPr>
              <w:t>14/11/2025</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Révision après le diagnostic et l'analyse du besoin</w:t>
            </w:r>
          </w:p>
        </w:tc>
        <w:tc>
          <w:tcPr>
            <w:tcW w:type="dxa" w:w="1701"/>
          </w:tcPr>
          <w:p>
            <w:pPr>
              <w:spacing w:after="40" w:before="20"/>
            </w:pPr>
            <w:r/>
            <w:r>
              <w:rPr>
                <w:rFonts w:ascii="Arial" w:hAnsi="Arial"/>
                <w:b w:val="0"/>
                <w:sz w:val="18"/>
              </w:rPr>
              <w:t>17/03/2026</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Actualisation en fin de projet</w:t>
            </w:r>
          </w:p>
        </w:tc>
        <w:tc>
          <w:tcPr>
            <w:tcW w:type="dxa" w:w="1701"/>
          </w:tcPr>
          <w:p>
            <w:pPr>
              <w:spacing w:after="40" w:before="20"/>
            </w:pPr>
            <w:r/>
            <w:r>
              <w:rPr>
                <w:rFonts w:ascii="Arial" w:hAnsi="Arial"/>
                <w:b w:val="0"/>
                <w:sz w:val="18"/>
              </w:rPr>
              <w:t>20/08/2026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c>
          <w:tcPr>
            <w:tcW w:type="dxa" w:w="4876"/>
            <w:shd w:val="clear" w:fill="EAF3EA"/>
          </w:tcPr>
          <w:p>
            <w:pPr>
              <w:spacing w:after="60" w:before="20"/>
            </w:pPr>
            <w:r/>
            <w:r>
              <w:rPr>
                <w:rFonts w:ascii="Arial" w:hAnsi="Arial"/>
                <w:b/>
                <w:color w:val="1F3864"/>
                <w:sz w:val="20"/>
              </w:rPr>
              <w:t>FORCES  (interne)</w:t>
            </w:r>
          </w:p>
          <w:p>
            <w:pPr>
              <w:spacing w:after="40"/>
            </w:pPr>
            <w:r>
              <w:rPr>
                <w:rFonts w:ascii="Arial" w:hAnsi="Arial"/>
                <w:sz w:val="17"/>
              </w:rPr>
              <w:t>· Double expertise du chef de projet : gestion de projet informatique et ingénierie de formation</w:t>
            </w:r>
          </w:p>
          <w:p>
            <w:pPr>
              <w:spacing w:after="40"/>
            </w:pPr>
            <w:r>
              <w:rPr>
                <w:rFonts w:ascii="Arial" w:hAnsi="Arial"/>
                <w:sz w:val="17"/>
              </w:rPr>
              <w:t>· Mandat écrit : fiche de poste dédiée, mission d'harmonisation explicite</w:t>
            </w:r>
          </w:p>
          <w:p>
            <w:pPr>
              <w:spacing w:after="40"/>
            </w:pPr>
            <w:r>
              <w:rPr>
                <w:rFonts w:ascii="Arial" w:hAnsi="Arial"/>
                <w:sz w:val="17"/>
              </w:rPr>
              <w:t>· Binôme solide avec la responsable pédagogique, points hebdomadaires</w:t>
            </w:r>
          </w:p>
          <w:p>
            <w:pPr>
              <w:spacing w:after="40"/>
            </w:pPr>
            <w:r>
              <w:rPr>
                <w:rFonts w:ascii="Arial" w:hAnsi="Arial"/>
                <w:sz w:val="17"/>
              </w:rPr>
              <w:t>· Outillage : chaîne de production automatisée, contrôles exhaustifs, IA encadrée</w:t>
            </w:r>
          </w:p>
          <w:p>
            <w:pPr>
              <w:spacing w:after="40"/>
            </w:pPr>
            <w:r>
              <w:rPr>
                <w:rFonts w:ascii="Arial" w:hAnsi="Arial"/>
                <w:sz w:val="17"/>
              </w:rPr>
              <w:t>· Connaissance du terrain : le chef de projet enseigne dans les parcours</w:t>
            </w:r>
          </w:p>
        </w:tc>
        <w:tc>
          <w:tcPr>
            <w:tcW w:type="dxa" w:w="4876"/>
            <w:shd w:val="clear" w:fill="FBEDEA"/>
          </w:tcPr>
          <w:p>
            <w:pPr>
              <w:spacing w:after="60" w:before="20"/>
            </w:pPr>
            <w:r/>
            <w:r>
              <w:rPr>
                <w:rFonts w:ascii="Arial" w:hAnsi="Arial"/>
                <w:b/>
                <w:color w:val="1F3864"/>
                <w:sz w:val="20"/>
              </w:rPr>
              <w:t>FAIBLESSES  (interne)</w:t>
            </w:r>
          </w:p>
          <w:p>
            <w:pPr>
              <w:spacing w:after="40"/>
            </w:pPr>
            <w:r>
              <w:rPr>
                <w:rFonts w:ascii="Arial" w:hAnsi="Arial"/>
                <w:sz w:val="17"/>
              </w:rPr>
              <w:t>· Un jour par semaine contractuel pour l'ensemble du périmètre</w:t>
            </w:r>
          </w:p>
          <w:p>
            <w:pPr>
              <w:spacing w:after="40"/>
            </w:pPr>
            <w:r>
              <w:rPr>
                <w:rFonts w:ascii="Arial" w:hAnsi="Arial"/>
                <w:sz w:val="17"/>
              </w:rPr>
              <w:t>· Aucune autorité hiérarchique sur les 25 formateurs</w:t>
            </w:r>
          </w:p>
          <w:p>
            <w:pPr>
              <w:spacing w:after="40"/>
            </w:pPr>
            <w:r>
              <w:rPr>
                <w:rFonts w:ascii="Arial" w:hAnsi="Arial"/>
                <w:sz w:val="17"/>
              </w:rPr>
              <w:t>· Concentration de la conception et de l'outillage sur une personne unique</w:t>
            </w:r>
          </w:p>
          <w:p>
            <w:pPr>
              <w:spacing w:after="40"/>
            </w:pPr>
            <w:r>
              <w:rPr>
                <w:rFonts w:ascii="Arial" w:hAnsi="Arial"/>
                <w:sz w:val="17"/>
              </w:rPr>
              <w:t>· Cadrage écrit tardif : mandat initial porté par l'oral et la fiche de poste</w:t>
            </w:r>
          </w:p>
        </w:tc>
      </w:tr>
      <w:tr>
        <w:tc>
          <w:tcPr>
            <w:tcW w:type="dxa" w:w="4876"/>
            <w:shd w:val="clear" w:fill="EAEFF7"/>
          </w:tcPr>
          <w:p>
            <w:pPr>
              <w:spacing w:after="60" w:before="20"/>
            </w:pPr>
            <w:r/>
            <w:r>
              <w:rPr>
                <w:rFonts w:ascii="Arial" w:hAnsi="Arial"/>
                <w:b/>
                <w:color w:val="1F3864"/>
                <w:sz w:val="20"/>
              </w:rPr>
              <w:t>OPPORTUNITÉS  (externe)</w:t>
            </w:r>
          </w:p>
          <w:p>
            <w:pPr>
              <w:spacing w:after="40"/>
            </w:pPr>
            <w:r>
              <w:rPr>
                <w:rFonts w:ascii="Arial" w:hAnsi="Arial"/>
                <w:sz w:val="17"/>
              </w:rPr>
              <w:t>· Référentiels B3 existants : cible objective pour la rétro-conception</w:t>
            </w:r>
          </w:p>
          <w:p>
            <w:pPr>
              <w:spacing w:after="40"/>
            </w:pPr>
            <w:r>
              <w:rPr>
                <w:rFonts w:ascii="Arial" w:hAnsi="Arial"/>
                <w:sz w:val="17"/>
              </w:rPr>
              <w:t>· FormaPlanner réutilisable (multi-centres) au-delà du projet</w:t>
            </w:r>
          </w:p>
          <w:p>
            <w:pPr>
              <w:spacing w:after="40"/>
            </w:pPr>
            <w:r>
              <w:rPr>
                <w:rFonts w:ascii="Arial" w:hAnsi="Arial"/>
                <w:sz w:val="17"/>
              </w:rPr>
              <w:t>· Préparation de l'ambition d'un titre RNCP propre</w:t>
            </w:r>
          </w:p>
          <w:p>
            <w:pPr>
              <w:spacing w:after="40"/>
            </w:pPr>
            <w:r>
              <w:rPr>
                <w:rFonts w:ascii="Arial" w:hAnsi="Arial"/>
                <w:sz w:val="17"/>
              </w:rPr>
              <w:t>· Différenciation du programme par l'intégration officielle de l'IA</w:t>
            </w:r>
          </w:p>
          <w:p>
            <w:pPr>
              <w:spacing w:after="40"/>
            </w:pPr>
            <w:r>
              <w:rPr>
                <w:rFonts w:ascii="Arial" w:hAnsi="Arial"/>
                <w:sz w:val="17"/>
              </w:rPr>
              <w:t>· Base de données formateurs durable (disponibilités, compétences)</w:t>
            </w:r>
          </w:p>
        </w:tc>
        <w:tc>
          <w:tcPr>
            <w:tcW w:type="dxa" w:w="4876"/>
            <w:shd w:val="clear" w:fill="FDF6E7"/>
          </w:tcPr>
          <w:p>
            <w:pPr>
              <w:spacing w:after="60" w:before="20"/>
            </w:pPr>
            <w:r/>
            <w:r>
              <w:rPr>
                <w:rFonts w:ascii="Arial" w:hAnsi="Arial"/>
                <w:b/>
                <w:color w:val="1F3864"/>
                <w:sz w:val="20"/>
              </w:rPr>
              <w:t>MENACES  (externe)</w:t>
            </w:r>
          </w:p>
          <w:p>
            <w:pPr>
              <w:spacing w:after="40"/>
            </w:pPr>
            <w:r>
              <w:rPr>
                <w:rFonts w:ascii="Arial" w:hAnsi="Arial"/>
                <w:sz w:val="17"/>
              </w:rPr>
              <w:t>· Résistance de formateurs installés dans leurs contenus</w:t>
            </w:r>
          </w:p>
          <w:p>
            <w:pPr>
              <w:spacing w:after="40"/>
            </w:pPr>
            <w:r>
              <w:rPr>
                <w:rFonts w:ascii="Arial" w:hAnsi="Arial"/>
                <w:sz w:val="17"/>
              </w:rPr>
              <w:t>· Calendrier commercial : programme vendu avant d'être conçu</w:t>
            </w:r>
          </w:p>
          <w:p>
            <w:pPr>
              <w:spacing w:after="40"/>
            </w:pPr>
            <w:r>
              <w:rPr>
                <w:rFonts w:ascii="Arial" w:hAnsi="Arial"/>
                <w:sz w:val="17"/>
              </w:rPr>
              <w:t>· Arbitrages économiques : mutualisation de promotions</w:t>
            </w:r>
          </w:p>
          <w:p>
            <w:pPr>
              <w:spacing w:after="40"/>
            </w:pPr>
            <w:r>
              <w:rPr>
                <w:rFonts w:ascii="Arial" w:hAnsi="Arial"/>
                <w:sz w:val="17"/>
              </w:rPr>
              <w:t>· Dépendance au certificateur pour la cohérence de la cible</w:t>
            </w:r>
          </w:p>
          <w:p>
            <w:pPr>
              <w:spacing w:after="40"/>
            </w:pPr>
            <w:r>
              <w:rPr>
                <w:rFonts w:ascii="Arial" w:hAnsi="Arial"/>
                <w:sz w:val="17"/>
              </w:rPr>
              <w:t>· Tension sur le recrutement de formateurs pour 2026-2027</w:t>
            </w:r>
          </w:p>
        </w:tc>
      </w:tr>
    </w:tbl>
    <w:p>
      <w:pPr>
        <w:spacing w:before="0" w:after="8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Enseignements pour la conduite</w:t>
            </w:r>
          </w:p>
        </w:tc>
      </w:tr>
      <w:tr>
        <w:tc>
          <w:tcPr>
            <w:tcW w:type="dxa" w:w="9752"/>
          </w:tcPr>
          <w:p>
            <w:pPr>
              <w:spacing w:after="60" w:before="20"/>
            </w:pPr>
            <w:r/>
            <w:r>
              <w:rPr>
                <w:rFonts w:ascii="Arial" w:hAnsi="Arial"/>
                <w:b w:val="0"/>
                <w:sz w:val="18"/>
              </w:rPr>
              <w:t>Le croisement commande la stratégie du projet : appuyer les faiblesses sur les forces (l'outillage et la qualité des livrables compensent l'absence d'autorité et la rareté du temps), saisir les opportunités qui renforcent l'adhésion (la collecte outillée crée une donnée utile aux formateurs eux-mêmes), et traiter chaque menace par une réponse explicite du registre des risques : consultation individuelle des résistants, butoir de rentrée intangible, arbitrages économiques tracés module par module.</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Matrice SWOT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