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752"/>
      </w:tblGrid>
      <w:tr>
        <w:tc>
          <w:tcPr>
            <w:tcW w:type="dxa" w:w="9752"/>
            <w:shd w:val="clear" w:fill="1F3864"/>
          </w:tcPr>
          <w:p>
            <w:pPr>
              <w:spacing w:after="0" w:before="20"/>
              <w:jc w:val="center"/>
            </w:pPr>
            <w:r/>
            <w:r>
              <w:rPr>
                <w:rFonts w:ascii="Arial" w:hAnsi="Arial"/>
                <w:b/>
                <w:color w:val="FFFFFF"/>
                <w:sz w:val="32"/>
              </w:rPr>
              <w:t>Cadre logique du projet</w:t>
            </w:r>
          </w:p>
          <w:p>
            <w:pPr>
              <w:spacing w:after="40"/>
              <w:jc w:val="center"/>
            </w:pPr>
            <w:r>
              <w:rPr>
                <w:rFonts w:ascii="Arial" w:hAnsi="Arial"/>
                <w:color w:val="D5DDEC"/>
                <w:sz w:val="20"/>
              </w:rPr>
              <w:t>Structuration des parcours B1/B2 · filières CDWFS et ASRC · IMIE Paris</w:t>
            </w:r>
          </w:p>
        </w:tc>
      </w:tr>
    </w:tbl>
    <w:p>
      <w:pPr>
        <w:spacing w:before="0" w:after="12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9AA7BD"/>
          <w:left w:val="single" w:sz="4" w:color="9AA7BD"/>
          <w:bottom w:val="single" w:sz="4" w:color="9AA7BD"/>
          <w:right w:val="single" w:sz="4" w:color="9AA7BD"/>
          <w:insideH w:val="single" w:sz="4" w:color="9AA7BD"/>
          <w:insideV w:val="single" w:sz="4" w:color="9AA7BD"/>
        </w:tblBorders>
      </w:tblPr>
      <w:tblGrid>
        <w:gridCol w:w="2608"/>
        <w:gridCol w:w="7143"/>
      </w:tblGrid>
      <w:tr>
        <w:tc>
          <w:tcPr>
            <w:tcW w:type="dxa" w:w="2608"/>
            <w:shd w:val="clear" w:fill="EAEFF7"/>
          </w:tcPr>
          <w:p>
            <w:pPr>
              <w:spacing w:after="40" w:before="20"/>
            </w:pPr>
            <w:r/>
            <w:r>
              <w:rPr>
                <w:rFonts w:ascii="Arial" w:hAnsi="Arial"/>
                <w:b/>
                <w:color w:val="1F3864"/>
                <w:sz w:val="18"/>
              </w:rPr>
              <w:t>Nom / Code projet</w:t>
            </w:r>
          </w:p>
        </w:tc>
        <w:tc>
          <w:tcPr>
            <w:tcW w:type="dxa" w:w="7143"/>
          </w:tcPr>
          <w:p>
            <w:pPr>
              <w:spacing w:after="40" w:before="20"/>
            </w:pPr>
            <w:r/>
            <w:r>
              <w:rPr>
                <w:rFonts w:ascii="Arial" w:hAnsi="Arial"/>
                <w:b w:val="0"/>
                <w:sz w:val="18"/>
              </w:rPr>
              <w:t>Structuration des parcours B1/B2  ·  B1B2-2026</w:t>
            </w:r>
          </w:p>
        </w:tc>
      </w:tr>
      <w:tr>
        <w:tc>
          <w:tcPr>
            <w:tcW w:type="dxa" w:w="2608"/>
            <w:shd w:val="clear" w:fill="EAEFF7"/>
          </w:tcPr>
          <w:p>
            <w:pPr>
              <w:spacing w:after="40" w:before="20"/>
            </w:pPr>
            <w:r/>
            <w:r>
              <w:rPr>
                <w:rFonts w:ascii="Arial" w:hAnsi="Arial"/>
                <w:b/>
                <w:color w:val="1F3864"/>
                <w:sz w:val="18"/>
              </w:rPr>
              <w:t>Référence</w:t>
            </w:r>
          </w:p>
        </w:tc>
        <w:tc>
          <w:tcPr>
            <w:tcW w:type="dxa" w:w="7143"/>
          </w:tcPr>
          <w:p>
            <w:pPr>
              <w:spacing w:after="40" w:before="20"/>
            </w:pPr>
            <w:r/>
            <w:r>
              <w:rPr>
                <w:rFonts w:ascii="Arial" w:hAnsi="Arial"/>
                <w:b w:val="0"/>
                <w:sz w:val="18"/>
              </w:rPr>
              <w:t>Diagnostic du 17/03/2026 · Fiche de poste : harmonisation et ingénierie des parcours B1/B2</w:t>
            </w:r>
          </w:p>
        </w:tc>
      </w:tr>
      <w:tr>
        <w:tc>
          <w:tcPr>
            <w:tcW w:type="dxa" w:w="2608"/>
            <w:shd w:val="clear" w:fill="EAEFF7"/>
          </w:tcPr>
          <w:p>
            <w:pPr>
              <w:spacing w:after="40" w:before="20"/>
            </w:pPr>
            <w:r/>
            <w:r>
              <w:rPr>
                <w:rFonts w:ascii="Arial" w:hAnsi="Arial"/>
                <w:b/>
                <w:color w:val="1F3864"/>
                <w:sz w:val="18"/>
              </w:rPr>
              <w:t>Rédacteur</w:t>
            </w:r>
          </w:p>
        </w:tc>
        <w:tc>
          <w:tcPr>
            <w:tcW w:type="dxa" w:w="7143"/>
          </w:tcPr>
          <w:p>
            <w:pPr>
              <w:spacing w:after="40" w:before="20"/>
            </w:pPr>
            <w:r/>
            <w:r>
              <w:rPr>
                <w:rFonts w:ascii="Arial" w:hAnsi="Arial"/>
                <w:b w:val="0"/>
                <w:sz w:val="18"/>
              </w:rPr>
              <w:t>Mohamed EL AFRIT, chargé de missions pédagogiques</w:t>
            </w:r>
          </w:p>
        </w:tc>
      </w:tr>
    </w:tbl>
    <w:p>
      <w:pPr>
        <w:spacing w:before="0" w:after="80"/>
      </w:pPr>
    </w:p>
    <w:p>
      <w:pPr>
        <w:spacing w:before="40" w:after="60"/>
      </w:pPr>
      <w:r>
        <w:rPr>
          <w:rFonts w:ascii="Arial" w:hAnsi="Arial"/>
          <w:b/>
          <w:i w:val="0"/>
          <w:color w:val="1F3864"/>
          <w:sz w:val="20"/>
        </w:rPr>
        <w:t>Historique du document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9AA7BD"/>
          <w:left w:val="single" w:sz="4" w:color="9AA7BD"/>
          <w:bottom w:val="single" w:sz="4" w:color="9AA7BD"/>
          <w:right w:val="single" w:sz="4" w:color="9AA7BD"/>
          <w:insideH w:val="single" w:sz="4" w:color="9AA7BD"/>
          <w:insideV w:val="single" w:sz="4" w:color="9AA7BD"/>
        </w:tblBorders>
      </w:tblPr>
      <w:tblGrid>
        <w:gridCol w:w="2438"/>
        <w:gridCol w:w="2438"/>
        <w:gridCol w:w="2438"/>
        <w:gridCol w:w="2438"/>
      </w:tblGrid>
      <w:tr>
        <w:tc>
          <w:tcPr>
            <w:tcW w:type="dxa" w:w="907"/>
            <w:shd w:val="clear" w:fill="1F3864"/>
          </w:tcPr>
          <w:p>
            <w:pPr>
              <w:spacing w:after="40" w:before="2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Version</w:t>
            </w:r>
          </w:p>
        </w:tc>
        <w:tc>
          <w:tcPr>
            <w:tcW w:type="dxa" w:w="2494"/>
            <w:shd w:val="clear" w:fill="1F3864"/>
          </w:tcPr>
          <w:p>
            <w:pPr>
              <w:spacing w:after="40" w:before="2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Auteur</w:t>
            </w:r>
          </w:p>
        </w:tc>
        <w:tc>
          <w:tcPr>
            <w:tcW w:type="dxa" w:w="4649"/>
            <w:shd w:val="clear" w:fill="1F3864"/>
          </w:tcPr>
          <w:p>
            <w:pPr>
              <w:spacing w:after="40" w:before="2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Description</w:t>
            </w:r>
          </w:p>
        </w:tc>
        <w:tc>
          <w:tcPr>
            <w:tcW w:type="dxa" w:w="1701"/>
            <w:shd w:val="clear" w:fill="1F3864"/>
          </w:tcPr>
          <w:p>
            <w:pPr>
              <w:spacing w:after="40" w:before="2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Date</w:t>
            </w:r>
          </w:p>
        </w:tc>
      </w:tr>
      <w:tr>
        <w:tc>
          <w:tcPr>
            <w:tcW w:type="dxa" w:w="907"/>
          </w:tcPr>
          <w:p>
            <w:pPr>
              <w:spacing w:after="40" w:before="20"/>
            </w:pPr>
            <w:r/>
            <w:r>
              <w:rPr>
                <w:rFonts w:ascii="Arial" w:hAnsi="Arial"/>
                <w:b w:val="0"/>
                <w:sz w:val="18"/>
              </w:rPr>
              <w:t>V1.0</w:t>
            </w:r>
          </w:p>
        </w:tc>
        <w:tc>
          <w:tcPr>
            <w:tcW w:type="dxa" w:w="2494"/>
          </w:tcPr>
          <w:p>
            <w:pPr>
              <w:spacing w:after="40" w:before="20"/>
            </w:pPr>
            <w:r/>
            <w:r>
              <w:rPr>
                <w:rFonts w:ascii="Arial" w:hAnsi="Arial"/>
                <w:b w:val="0"/>
                <w:sz w:val="18"/>
              </w:rPr>
              <w:t>Mohamed EL AFRIT</w:t>
            </w:r>
          </w:p>
        </w:tc>
        <w:tc>
          <w:tcPr>
            <w:tcW w:type="dxa" w:w="4649"/>
          </w:tcPr>
          <w:p>
            <w:pPr>
              <w:spacing w:after="40" w:before="20"/>
            </w:pPr>
            <w:r/>
            <w:r>
              <w:rPr>
                <w:rFonts w:ascii="Arial" w:hAnsi="Arial"/>
                <w:b w:val="0"/>
                <w:sz w:val="18"/>
              </w:rPr>
              <w:t>Première formalisation, avec le diagnostic et l'analyse du besoin</w:t>
            </w:r>
          </w:p>
        </w:tc>
        <w:tc>
          <w:tcPr>
            <w:tcW w:type="dxa" w:w="1701"/>
          </w:tcPr>
          <w:p>
            <w:pPr>
              <w:spacing w:after="40" w:before="20"/>
            </w:pPr>
            <w:r/>
            <w:r>
              <w:rPr>
                <w:rFonts w:ascii="Arial" w:hAnsi="Arial"/>
                <w:b w:val="0"/>
                <w:sz w:val="18"/>
              </w:rPr>
              <w:t>17/03/2026</w:t>
            </w:r>
          </w:p>
        </w:tc>
      </w:tr>
      <w:tr>
        <w:tc>
          <w:tcPr>
            <w:tcW w:type="dxa" w:w="907"/>
          </w:tcPr>
          <w:p>
            <w:pPr>
              <w:spacing w:after="40" w:before="20"/>
            </w:pPr>
            <w:r/>
            <w:r>
              <w:rPr>
                <w:rFonts w:ascii="Arial" w:hAnsi="Arial"/>
                <w:b w:val="0"/>
                <w:sz w:val="18"/>
              </w:rPr>
              <w:t>V1.1</w:t>
            </w:r>
          </w:p>
        </w:tc>
        <w:tc>
          <w:tcPr>
            <w:tcW w:type="dxa" w:w="2494"/>
          </w:tcPr>
          <w:p>
            <w:pPr>
              <w:spacing w:after="40" w:before="20"/>
            </w:pPr>
            <w:r/>
            <w:r>
              <w:rPr>
                <w:rFonts w:ascii="Arial" w:hAnsi="Arial"/>
                <w:b w:val="0"/>
                <w:sz w:val="18"/>
              </w:rPr>
              <w:t>Mohamed EL AFRIT</w:t>
            </w:r>
          </w:p>
        </w:tc>
        <w:tc>
          <w:tcPr>
            <w:tcW w:type="dxa" w:w="4649"/>
          </w:tcPr>
          <w:p>
            <w:pPr>
              <w:spacing w:after="40" w:before="20"/>
            </w:pPr>
            <w:r/>
            <w:r>
              <w:rPr>
                <w:rFonts w:ascii="Arial" w:hAnsi="Arial"/>
                <w:b w:val="0"/>
                <w:sz w:val="18"/>
              </w:rPr>
              <w:t>Indicateurs révisés : l'indicateur d'insertion, trop éloigné du périmètre, est retiré</w:t>
            </w:r>
          </w:p>
        </w:tc>
        <w:tc>
          <w:tcPr>
            <w:tcW w:type="dxa" w:w="1701"/>
          </w:tcPr>
          <w:p>
            <w:pPr>
              <w:spacing w:after="40" w:before="20"/>
            </w:pPr>
            <w:r/>
            <w:r>
              <w:rPr>
                <w:rFonts w:ascii="Arial" w:hAnsi="Arial"/>
                <w:b w:val="0"/>
                <w:sz w:val="18"/>
              </w:rPr>
              <w:t>05/05/2026</w:t>
            </w:r>
          </w:p>
        </w:tc>
      </w:tr>
      <w:tr>
        <w:tc>
          <w:tcPr>
            <w:tcW w:type="dxa" w:w="907"/>
          </w:tcPr>
          <w:p>
            <w:pPr>
              <w:spacing w:after="40" w:before="20"/>
            </w:pPr>
            <w:r/>
            <w:r>
              <w:rPr>
                <w:rFonts w:ascii="Arial" w:hAnsi="Arial"/>
                <w:b w:val="0"/>
                <w:sz w:val="18"/>
              </w:rPr>
              <w:t>V2.0</w:t>
            </w:r>
          </w:p>
        </w:tc>
        <w:tc>
          <w:tcPr>
            <w:tcW w:type="dxa" w:w="2494"/>
          </w:tcPr>
          <w:p>
            <w:pPr>
              <w:spacing w:after="40" w:before="20"/>
            </w:pPr>
            <w:r/>
            <w:r>
              <w:rPr>
                <w:rFonts w:ascii="Arial" w:hAnsi="Arial"/>
                <w:b w:val="0"/>
                <w:sz w:val="18"/>
              </w:rPr>
              <w:t>Mohamed EL AFRIT</w:t>
            </w:r>
          </w:p>
        </w:tc>
        <w:tc>
          <w:tcPr>
            <w:tcW w:type="dxa" w:w="4649"/>
          </w:tcPr>
          <w:p>
            <w:pPr>
              <w:spacing w:after="40" w:before="20"/>
            </w:pPr>
            <w:r/>
            <w:r>
              <w:rPr>
                <w:rFonts w:ascii="Arial" w:hAnsi="Arial"/>
                <w:b w:val="0"/>
                <w:sz w:val="18"/>
              </w:rPr>
              <w:t>Alignement sur le référentiel validé et le périmètre réel</w:t>
            </w:r>
          </w:p>
        </w:tc>
        <w:tc>
          <w:tcPr>
            <w:tcW w:type="dxa" w:w="1701"/>
          </w:tcPr>
          <w:p>
            <w:pPr>
              <w:spacing w:after="40" w:before="20"/>
            </w:pPr>
            <w:r/>
            <w:r>
              <w:rPr>
                <w:rFonts w:ascii="Arial" w:hAnsi="Arial"/>
                <w:b w:val="0"/>
                <w:sz w:val="18"/>
              </w:rPr>
              <w:t>30/06/2026</w:t>
            </w:r>
          </w:p>
        </w:tc>
      </w:tr>
      <w:tr>
        <w:tc>
          <w:tcPr>
            <w:tcW w:type="dxa" w:w="907"/>
          </w:tcPr>
          <w:p>
            <w:pPr>
              <w:spacing w:after="40" w:before="20"/>
            </w:pPr>
            <w:r/>
            <w:r>
              <w:rPr>
                <w:rFonts w:ascii="Arial" w:hAnsi="Arial"/>
                <w:b w:val="0"/>
                <w:sz w:val="18"/>
              </w:rPr>
              <w:t>V2.1</w:t>
            </w:r>
          </w:p>
        </w:tc>
        <w:tc>
          <w:tcPr>
            <w:tcW w:type="dxa" w:w="2494"/>
          </w:tcPr>
          <w:p>
            <w:pPr>
              <w:spacing w:after="40" w:before="20"/>
            </w:pPr>
            <w:r/>
            <w:r>
              <w:rPr>
                <w:rFonts w:ascii="Arial" w:hAnsi="Arial"/>
                <w:b w:val="0"/>
                <w:sz w:val="18"/>
              </w:rPr>
              <w:t>Mohamed EL AFRIT</w:t>
            </w:r>
          </w:p>
        </w:tc>
        <w:tc>
          <w:tcPr>
            <w:tcW w:type="dxa" w:w="4649"/>
          </w:tcPr>
          <w:p>
            <w:pPr>
              <w:spacing w:after="40" w:before="20"/>
            </w:pPr>
            <w:r/>
            <w:r>
              <w:rPr>
                <w:rFonts w:ascii="Arial" w:hAnsi="Arial"/>
                <w:b w:val="0"/>
                <w:sz w:val="18"/>
              </w:rPr>
              <w:t>Ajout du résultat portant sur l'outillage du pilotage</w:t>
            </w:r>
          </w:p>
        </w:tc>
        <w:tc>
          <w:tcPr>
            <w:tcW w:type="dxa" w:w="1701"/>
          </w:tcPr>
          <w:p>
            <w:pPr>
              <w:spacing w:after="40" w:before="20"/>
            </w:pPr>
            <w:r/>
            <w:r>
              <w:rPr>
                <w:rFonts w:ascii="Arial" w:hAnsi="Arial"/>
                <w:b w:val="0"/>
                <w:sz w:val="18"/>
              </w:rPr>
              <w:t>20/08/2026</w:t>
            </w:r>
          </w:p>
        </w:tc>
      </w:tr>
    </w:tbl>
    <w:p>
      <w:pPr>
        <w:spacing w:before="0" w:after="12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9AA7BD"/>
          <w:left w:val="single" w:sz="4" w:color="9AA7BD"/>
          <w:bottom w:val="single" w:sz="4" w:color="9AA7BD"/>
          <w:right w:val="single" w:sz="4" w:color="9AA7BD"/>
          <w:insideH w:val="single" w:sz="4" w:color="9AA7BD"/>
          <w:insideV w:val="single" w:sz="4" w:color="9AA7BD"/>
        </w:tblBorders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</w:trPr>
        <w:tc>
          <w:tcPr>
            <w:tcW w:type="dxa" w:w="1077"/>
            <w:shd w:val="clear" w:fill="1F3864"/>
          </w:tcPr>
          <w:p>
            <w:pPr>
              <w:spacing w:after="20" w:before="2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Niveau</w:t>
            </w:r>
          </w:p>
        </w:tc>
        <w:tc>
          <w:tcPr>
            <w:tcW w:type="dxa" w:w="2835"/>
            <w:shd w:val="clear" w:fill="1F3864"/>
          </w:tcPr>
          <w:p>
            <w:pPr>
              <w:spacing w:after="20" w:before="2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Logique d'intervention</w:t>
            </w:r>
          </w:p>
        </w:tc>
        <w:tc>
          <w:tcPr>
            <w:tcW w:type="dxa" w:w="2041"/>
            <w:shd w:val="clear" w:fill="1F3864"/>
          </w:tcPr>
          <w:p>
            <w:pPr>
              <w:spacing w:after="20" w:before="2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Indicateurs vérifiables</w:t>
            </w:r>
          </w:p>
        </w:tc>
        <w:tc>
          <w:tcPr>
            <w:tcW w:type="dxa" w:w="1928"/>
            <w:shd w:val="clear" w:fill="1F3864"/>
          </w:tcPr>
          <w:p>
            <w:pPr>
              <w:spacing w:after="20" w:before="2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Sources de vérification</w:t>
            </w:r>
          </w:p>
        </w:tc>
        <w:tc>
          <w:tcPr>
            <w:tcW w:type="dxa" w:w="1871"/>
            <w:shd w:val="clear" w:fill="1F3864"/>
          </w:tcPr>
          <w:p>
            <w:pPr>
              <w:spacing w:after="20" w:before="2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Hypothèses et conditions</w:t>
            </w:r>
          </w:p>
        </w:tc>
      </w:tr>
      <w:tr>
        <w:tc>
          <w:tcPr>
            <w:tcW w:type="dxa" w:w="1077"/>
          </w:tcPr>
          <w:p>
            <w:pPr>
              <w:spacing w:after="20" w:before="20"/>
            </w:pPr>
            <w:r/>
            <w:r>
              <w:rPr>
                <w:rFonts w:ascii="Arial" w:hAnsi="Arial"/>
                <w:b w:val="0"/>
                <w:sz w:val="15"/>
              </w:rPr>
              <w:t>Finalité</w:t>
            </w:r>
          </w:p>
        </w:tc>
        <w:tc>
          <w:tcPr>
            <w:tcW w:type="dxa" w:w="2835"/>
          </w:tcPr>
          <w:p>
            <w:pPr>
              <w:spacing w:after="20" w:before="20"/>
            </w:pPr>
            <w:r/>
            <w:r>
              <w:rPr>
                <w:rFonts w:ascii="Arial" w:hAnsi="Arial"/>
                <w:b w:val="0"/>
                <w:sz w:val="15"/>
              </w:rPr>
              <w:t>Sécuriser la réussite des étudiants aux titres de niveau 6 en troisième année et la conformité qualité de l'école</w:t>
            </w:r>
          </w:p>
        </w:tc>
        <w:tc>
          <w:tcPr>
            <w:tcW w:type="dxa" w:w="2041"/>
          </w:tcPr>
          <w:p>
            <w:pPr>
              <w:spacing w:after="20" w:before="20"/>
            </w:pPr>
            <w:r/>
            <w:r>
              <w:rPr>
                <w:rFonts w:ascii="Arial" w:hAnsi="Arial"/>
                <w:b w:val="0"/>
                <w:sz w:val="15"/>
              </w:rPr>
              <w:t>Taux de réussite aux blocs du B3 ; conformité en audit</w:t>
            </w:r>
          </w:p>
        </w:tc>
        <w:tc>
          <w:tcPr>
            <w:tcW w:type="dxa" w:w="1928"/>
          </w:tcPr>
          <w:p>
            <w:pPr>
              <w:spacing w:after="20" w:before="20"/>
            </w:pPr>
            <w:r/>
            <w:r>
              <w:rPr>
                <w:rFonts w:ascii="Arial" w:hAnsi="Arial"/>
                <w:b w:val="0"/>
                <w:sz w:val="15"/>
              </w:rPr>
              <w:t>Résultats de certification ; rapports d'audit</w:t>
            </w:r>
          </w:p>
        </w:tc>
        <w:tc>
          <w:tcPr>
            <w:tcW w:type="dxa" w:w="1871"/>
          </w:tcPr>
          <w:p>
            <w:pPr>
              <w:spacing w:after="20" w:before="20"/>
            </w:pPr>
            <w:r/>
            <w:r>
              <w:rPr>
                <w:rFonts w:ascii="Arial" w:hAnsi="Arial"/>
                <w:b w:val="0"/>
                <w:sz w:val="15"/>
              </w:rPr>
              <w:t>Les référentiels B3 restent stables sur la durée du cycle</w:t>
            </w:r>
          </w:p>
        </w:tc>
      </w:tr>
      <w:tr>
        <w:tc>
          <w:tcPr>
            <w:tcW w:type="dxa" w:w="1077"/>
          </w:tcPr>
          <w:p>
            <w:pPr>
              <w:spacing w:after="20" w:before="20"/>
            </w:pPr>
            <w:r/>
            <w:r>
              <w:rPr>
                <w:rFonts w:ascii="Arial" w:hAnsi="Arial"/>
                <w:b w:val="0"/>
                <w:sz w:val="15"/>
              </w:rPr>
              <w:t>Objectif du projet</w:t>
            </w:r>
          </w:p>
        </w:tc>
        <w:tc>
          <w:tcPr>
            <w:tcW w:type="dxa" w:w="2835"/>
          </w:tcPr>
          <w:p>
            <w:pPr>
              <w:spacing w:after="20" w:before="20"/>
            </w:pPr>
            <w:r/>
            <w:r>
              <w:rPr>
                <w:rFonts w:ascii="Arial" w:hAnsi="Arial"/>
                <w:b w:val="0"/>
                <w:sz w:val="15"/>
              </w:rPr>
              <w:t>Doter B1 et B2 d'un appareil pédagogique complet, aligné sur le B3, approprié par les formateurs, en service à la rentrée 2026</w:t>
            </w:r>
          </w:p>
        </w:tc>
        <w:tc>
          <w:tcPr>
            <w:tcW w:type="dxa" w:w="2041"/>
          </w:tcPr>
          <w:p>
            <w:pPr>
              <w:spacing w:after="20" w:before="20"/>
            </w:pPr>
            <w:r/>
            <w:r>
              <w:rPr>
                <w:rFonts w:ascii="Arial" w:hAnsi="Arial"/>
                <w:b w:val="0"/>
                <w:sz w:val="15"/>
              </w:rPr>
              <w:t>100 % des compétences B3 couvertes ; appareil complet livré avant la rentrée ; fiches utilisées par les formateurs</w:t>
            </w:r>
          </w:p>
        </w:tc>
        <w:tc>
          <w:tcPr>
            <w:tcW w:type="dxa" w:w="1928"/>
          </w:tcPr>
          <w:p>
            <w:pPr>
              <w:spacing w:after="20" w:before="20"/>
            </w:pPr>
            <w:r/>
            <w:r>
              <w:rPr>
                <w:rFonts w:ascii="Arial" w:hAnsi="Arial"/>
                <w:b w:val="0"/>
                <w:sz w:val="15"/>
              </w:rPr>
              <w:t>Matrice de couverture ; dépôt documentaire ; usage constaté</w:t>
            </w:r>
          </w:p>
        </w:tc>
        <w:tc>
          <w:tcPr>
            <w:tcW w:type="dxa" w:w="1871"/>
          </w:tcPr>
          <w:p>
            <w:pPr>
              <w:spacing w:after="20" w:before="20"/>
            </w:pPr>
            <w:r/>
            <w:r>
              <w:rPr>
                <w:rFonts w:ascii="Arial" w:hAnsi="Arial"/>
                <w:b w:val="0"/>
                <w:sz w:val="15"/>
              </w:rPr>
              <w:t>La disponibilité de la responsable pédagogique est maintenue ; le calendrier commercial reste inchangé</w:t>
            </w:r>
          </w:p>
        </w:tc>
      </w:tr>
      <w:tr>
        <w:tc>
          <w:tcPr>
            <w:tcW w:type="dxa" w:w="1077"/>
          </w:tcPr>
          <w:p>
            <w:pPr>
              <w:spacing w:after="20" w:before="20"/>
            </w:pPr>
            <w:r/>
            <w:r>
              <w:rPr>
                <w:rFonts w:ascii="Arial" w:hAnsi="Arial"/>
                <w:b w:val="0"/>
                <w:sz w:val="15"/>
              </w:rPr>
              <w:t>Résultat R1</w:t>
            </w:r>
          </w:p>
        </w:tc>
        <w:tc>
          <w:tcPr>
            <w:tcW w:type="dxa" w:w="2835"/>
          </w:tcPr>
          <w:p>
            <w:pPr>
              <w:spacing w:after="20" w:before="20"/>
            </w:pPr>
            <w:r/>
            <w:r>
              <w:rPr>
                <w:rFonts w:ascii="Arial" w:hAnsi="Arial"/>
                <w:b w:val="0"/>
                <w:sz w:val="15"/>
              </w:rPr>
              <w:t>Un référentiel B1/B2 aligné sur les compétences du B3</w:t>
            </w:r>
          </w:p>
        </w:tc>
        <w:tc>
          <w:tcPr>
            <w:tcW w:type="dxa" w:w="2041"/>
          </w:tcPr>
          <w:p>
            <w:pPr>
              <w:spacing w:after="20" w:before="20"/>
            </w:pPr>
            <w:r/>
            <w:r>
              <w:rPr>
                <w:rFonts w:ascii="Arial" w:hAnsi="Arial"/>
                <w:b w:val="0"/>
                <w:sz w:val="15"/>
              </w:rPr>
              <w:t>Couverture 100 % ; zéro rupture de prérequis</w:t>
            </w:r>
          </w:p>
        </w:tc>
        <w:tc>
          <w:tcPr>
            <w:tcW w:type="dxa" w:w="1928"/>
          </w:tcPr>
          <w:p>
            <w:pPr>
              <w:spacing w:after="20" w:before="20"/>
            </w:pPr>
            <w:r/>
            <w:r>
              <w:rPr>
                <w:rFonts w:ascii="Arial" w:hAnsi="Arial"/>
                <w:b w:val="0"/>
                <w:sz w:val="15"/>
              </w:rPr>
              <w:t>Matrice de couverture ; contrôle d'ordonnancement ; avis 3iL</w:t>
            </w:r>
          </w:p>
        </w:tc>
        <w:tc>
          <w:tcPr>
            <w:tcW w:type="dxa" w:w="1871"/>
          </w:tcPr>
          <w:p>
            <w:pPr>
              <w:spacing w:after="20" w:before="20"/>
            </w:pPr>
            <w:r/>
            <w:r>
              <w:rPr>
                <w:rFonts w:ascii="Arial" w:hAnsi="Arial"/>
                <w:b w:val="0"/>
                <w:sz w:val="15"/>
              </w:rPr>
              <w:t>Le référentiel du certificateur est exploitable comme cible</w:t>
            </w:r>
          </w:p>
        </w:tc>
      </w:tr>
      <w:tr>
        <w:tc>
          <w:tcPr>
            <w:tcW w:type="dxa" w:w="1077"/>
          </w:tcPr>
          <w:p>
            <w:pPr>
              <w:spacing w:after="20" w:before="20"/>
            </w:pPr>
            <w:r/>
            <w:r>
              <w:rPr>
                <w:rFonts w:ascii="Arial" w:hAnsi="Arial"/>
                <w:b w:val="0"/>
                <w:sz w:val="15"/>
              </w:rPr>
              <w:t>Résultat R2</w:t>
            </w:r>
          </w:p>
        </w:tc>
        <w:tc>
          <w:tcPr>
            <w:tcW w:type="dxa" w:w="2835"/>
          </w:tcPr>
          <w:p>
            <w:pPr>
              <w:spacing w:after="20" w:before="20"/>
            </w:pPr>
            <w:r/>
            <w:r>
              <w:rPr>
                <w:rFonts w:ascii="Arial" w:hAnsi="Arial"/>
                <w:b w:val="0"/>
                <w:sz w:val="15"/>
              </w:rPr>
              <w:t>Un appareil documentaire homogène : fiches modules, fiches projet fil rouge, règlement, plannings</w:t>
            </w:r>
          </w:p>
        </w:tc>
        <w:tc>
          <w:tcPr>
            <w:tcW w:type="dxa" w:w="2041"/>
          </w:tcPr>
          <w:p>
            <w:pPr>
              <w:spacing w:after="20" w:before="20"/>
            </w:pPr>
            <w:r/>
            <w:r>
              <w:rPr>
                <w:rFonts w:ascii="Arial" w:hAnsi="Arial"/>
                <w:b w:val="0"/>
                <w:sz w:val="15"/>
              </w:rPr>
              <w:t>81 fiches modules et 3 fiches projet fil rouge produites ; appariement fiche/module exhaustif</w:t>
            </w:r>
          </w:p>
        </w:tc>
        <w:tc>
          <w:tcPr>
            <w:tcW w:type="dxa" w:w="1928"/>
          </w:tcPr>
          <w:p>
            <w:pPr>
              <w:spacing w:after="20" w:before="20"/>
            </w:pPr>
            <w:r/>
            <w:r>
              <w:rPr>
                <w:rFonts w:ascii="Arial" w:hAnsi="Arial"/>
                <w:b w:val="0"/>
                <w:sz w:val="15"/>
              </w:rPr>
              <w:t>Chaîne de production ; rapport de contrôle ; dépôt versionné</w:t>
            </w:r>
          </w:p>
        </w:tc>
        <w:tc>
          <w:tcPr>
            <w:tcW w:type="dxa" w:w="1871"/>
          </w:tcPr>
          <w:p>
            <w:pPr>
              <w:spacing w:after="20" w:before="20"/>
            </w:pPr>
            <w:r/>
            <w:r>
              <w:rPr>
                <w:rFonts w:ascii="Arial" w:hAnsi="Arial"/>
                <w:b w:val="0"/>
                <w:sz w:val="15"/>
              </w:rPr>
              <w:t>La chaîne outillée reste opérante ; les gabarits sont validés</w:t>
            </w:r>
          </w:p>
        </w:tc>
      </w:tr>
      <w:tr>
        <w:tc>
          <w:tcPr>
            <w:tcW w:type="dxa" w:w="1077"/>
          </w:tcPr>
          <w:p>
            <w:pPr>
              <w:spacing w:after="20" w:before="20"/>
            </w:pPr>
            <w:r/>
            <w:r>
              <w:rPr>
                <w:rFonts w:ascii="Arial" w:hAnsi="Arial"/>
                <w:b w:val="0"/>
                <w:sz w:val="15"/>
              </w:rPr>
              <w:t>Résultat R3</w:t>
            </w:r>
          </w:p>
        </w:tc>
        <w:tc>
          <w:tcPr>
            <w:tcW w:type="dxa" w:w="2835"/>
          </w:tcPr>
          <w:p>
            <w:pPr>
              <w:spacing w:after="20" w:before="20"/>
            </w:pPr>
            <w:r/>
            <w:r>
              <w:rPr>
                <w:rFonts w:ascii="Arial" w:hAnsi="Arial"/>
                <w:b w:val="0"/>
                <w:sz w:val="15"/>
              </w:rPr>
              <w:t>Une collecte et une affectation des formateurs outillées</w:t>
            </w:r>
          </w:p>
        </w:tc>
        <w:tc>
          <w:tcPr>
            <w:tcW w:type="dxa" w:w="2041"/>
          </w:tcPr>
          <w:p>
            <w:pPr>
              <w:spacing w:after="20" w:before="20"/>
            </w:pPr>
            <w:r/>
            <w:r>
              <w:rPr>
                <w:rFonts w:ascii="Arial" w:hAnsi="Arial"/>
                <w:b w:val="0"/>
                <w:sz w:val="15"/>
              </w:rPr>
              <w:t>Au moins 90 % de réponses des 25 formateurs ; planification 2026-2027 préparée</w:t>
            </w:r>
          </w:p>
        </w:tc>
        <w:tc>
          <w:tcPr>
            <w:tcW w:type="dxa" w:w="1928"/>
          </w:tcPr>
          <w:p>
            <w:pPr>
              <w:spacing w:after="20" w:before="20"/>
            </w:pPr>
            <w:r/>
            <w:r>
              <w:rPr>
                <w:rFonts w:ascii="Arial" w:hAnsi="Arial"/>
                <w:b w:val="0"/>
                <w:sz w:val="15"/>
              </w:rPr>
              <w:t>FormaPlanner : taux de réponse (95 % atteint), consolidation, matching</w:t>
            </w:r>
          </w:p>
        </w:tc>
        <w:tc>
          <w:tcPr>
            <w:tcW w:type="dxa" w:w="1871"/>
          </w:tcPr>
          <w:p>
            <w:pPr>
              <w:spacing w:after="20" w:before="20"/>
            </w:pPr>
            <w:r/>
            <w:r>
              <w:rPr>
                <w:rFonts w:ascii="Arial" w:hAnsi="Arial"/>
                <w:b w:val="0"/>
                <w:sz w:val="15"/>
              </w:rPr>
              <w:t>Les formateurs répondent ; l'incitation par le planning fonctionne</w:t>
            </w:r>
          </w:p>
        </w:tc>
      </w:tr>
      <w:tr>
        <w:tc>
          <w:tcPr>
            <w:tcW w:type="dxa" w:w="1077"/>
          </w:tcPr>
          <w:p>
            <w:pPr>
              <w:spacing w:after="20" w:before="20"/>
            </w:pPr>
            <w:r/>
            <w:r>
              <w:rPr>
                <w:rFonts w:ascii="Arial" w:hAnsi="Arial"/>
                <w:b w:val="0"/>
                <w:sz w:val="15"/>
              </w:rPr>
              <w:t>Résultat R4</w:t>
            </w:r>
          </w:p>
        </w:tc>
        <w:tc>
          <w:tcPr>
            <w:tcW w:type="dxa" w:w="2835"/>
          </w:tcPr>
          <w:p>
            <w:pPr>
              <w:spacing w:after="20" w:before="20"/>
            </w:pPr>
            <w:r/>
            <w:r>
              <w:rPr>
                <w:rFonts w:ascii="Arial" w:hAnsi="Arial"/>
                <w:b w:val="0"/>
                <w:sz w:val="15"/>
              </w:rPr>
              <w:t>Un pilotage installé et durable</w:t>
            </w:r>
          </w:p>
        </w:tc>
        <w:tc>
          <w:tcPr>
            <w:tcW w:type="dxa" w:w="2041"/>
          </w:tcPr>
          <w:p>
            <w:pPr>
              <w:spacing w:after="20" w:before="20"/>
            </w:pPr>
            <w:r/>
            <w:r>
              <w:rPr>
                <w:rFonts w:ascii="Arial" w:hAnsi="Arial"/>
                <w:b w:val="0"/>
                <w:sz w:val="15"/>
              </w:rPr>
              <w:t>Comité pédagogique mensuel tenu ; tableau de bord à jour ; jalons tracés</w:t>
            </w:r>
          </w:p>
        </w:tc>
        <w:tc>
          <w:tcPr>
            <w:tcW w:type="dxa" w:w="1928"/>
          </w:tcPr>
          <w:p>
            <w:pPr>
              <w:spacing w:after="20" w:before="20"/>
            </w:pPr>
            <w:r/>
            <w:r>
              <w:rPr>
                <w:rFonts w:ascii="Arial" w:hAnsi="Arial"/>
                <w:b w:val="0"/>
                <w:sz w:val="15"/>
              </w:rPr>
              <w:t>Comptes rendus ; tableau de bord ; registre des décisions</w:t>
            </w:r>
          </w:p>
        </w:tc>
        <w:tc>
          <w:tcPr>
            <w:tcW w:type="dxa" w:w="1871"/>
          </w:tcPr>
          <w:p>
            <w:pPr>
              <w:spacing w:after="20" w:before="20"/>
            </w:pPr>
            <w:r/>
            <w:r>
              <w:rPr>
                <w:rFonts w:ascii="Arial" w:hAnsi="Arial"/>
                <w:b w:val="0"/>
                <w:sz w:val="15"/>
              </w:rPr>
              <w:t>Les instances restent réunies après la mise en service</w:t>
            </w:r>
          </w:p>
        </w:tc>
      </w:tr>
      <w:tr>
        <w:tc>
          <w:tcPr>
            <w:tcW w:type="dxa" w:w="1077"/>
          </w:tcPr>
          <w:p>
            <w:pPr>
              <w:spacing w:after="20" w:before="20"/>
            </w:pPr>
            <w:r/>
            <w:r>
              <w:rPr>
                <w:rFonts w:ascii="Arial" w:hAnsi="Arial"/>
                <w:b w:val="0"/>
                <w:sz w:val="15"/>
              </w:rPr>
              <w:t>Activités</w:t>
            </w:r>
          </w:p>
        </w:tc>
        <w:tc>
          <w:tcPr>
            <w:tcW w:type="dxa" w:w="2835"/>
          </w:tcPr>
          <w:p>
            <w:pPr>
              <w:spacing w:after="20" w:before="20"/>
            </w:pPr>
            <w:r/>
            <w:r>
              <w:rPr>
                <w:rFonts w:ascii="Arial" w:hAnsi="Arial"/>
                <w:b w:val="0"/>
                <w:sz w:val="15"/>
              </w:rPr>
              <w:t>A1 audit de l'existant (cahiers de texte) et rétro-conception des blocs · A2 gabarit pilote puis production outillée des fiches · A3 collecte en trois temps puis appariement et planification · A4 comité mensuel, points hebdomadaires, tableau de bord · A5 enquête de besoins auprès des étudiants et anciens · A6 revue d'expert avec le certificateur</w:t>
            </w:r>
          </w:p>
        </w:tc>
        <w:tc>
          <w:tcPr>
            <w:tcW w:type="dxa" w:w="2041"/>
          </w:tcPr>
          <w:p>
            <w:pPr>
              <w:spacing w:after="20" w:before="20"/>
            </w:pPr>
            <w:r/>
            <w:r>
              <w:rPr>
                <w:rFonts w:ascii="Arial" w:hAnsi="Arial"/>
                <w:b w:val="0"/>
                <w:sz w:val="15"/>
              </w:rPr>
              <w:t>Jalons M1 à M6 tenus ; charges par lot suivies</w:t>
            </w:r>
          </w:p>
        </w:tc>
        <w:tc>
          <w:tcPr>
            <w:tcW w:type="dxa" w:w="1928"/>
          </w:tcPr>
          <w:p>
            <w:pPr>
              <w:spacing w:after="20" w:before="20"/>
            </w:pPr>
            <w:r/>
            <w:r>
              <w:rPr>
                <w:rFonts w:ascii="Arial" w:hAnsi="Arial"/>
                <w:b w:val="0"/>
                <w:sz w:val="15"/>
              </w:rPr>
              <w:t>Plannings ; comptes rendus ; journal de bord ; historique du dépôt</w:t>
            </w:r>
          </w:p>
        </w:tc>
        <w:tc>
          <w:tcPr>
            <w:tcW w:type="dxa" w:w="1871"/>
          </w:tcPr>
          <w:p>
            <w:pPr>
              <w:spacing w:after="20" w:before="20"/>
            </w:pPr>
            <w:r/>
            <w:r>
              <w:rPr>
                <w:rFonts w:ascii="Arial" w:hAnsi="Arial"/>
                <w:b w:val="0"/>
                <w:sz w:val="15"/>
              </w:rPr>
              <w:t>Moyens confirmés : un jour par semaine, outillage, budget des coûts directs</w:t>
            </w:r>
          </w:p>
        </w:tc>
      </w:tr>
    </w:tbl>
    <w:p>
      <w:pPr>
        <w:spacing w:before="0" w:after="120"/>
      </w:pPr>
    </w:p>
    <w:p>
      <w:pPr>
        <w:spacing w:before="0" w:after="80"/>
      </w:pPr>
      <w:r>
        <w:rPr>
          <w:rFonts w:ascii="Arial" w:hAnsi="Arial"/>
          <w:b w:val="0"/>
          <w:i/>
          <w:color w:val="606060"/>
          <w:sz w:val="17"/>
        </w:rPr>
        <w:t>Le cadre logique se lit de bas en haut : si les activités sont conduites et que les hypothèses tiennent, les résultats adviennent ; s'ils adviennent, l'objectif du projet est atteint et sert la finalité. Il a servi de trame au pitch du projet en séance et structure le dispositif d'évaluation.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361" w:right="1077" w:bottom="964" w:left="1077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06060"/>
        <w:sz w:val="16"/>
      </w:rPr>
      <w:t xml:space="preserve">IMIE Paris   ·   </w:t>
    </w:r>
    <w:fldSimple w:instr="PAGE">
      <w:r>
        <w:rPr>
          <w:sz w:val="16"/>
        </w:rPr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3402"/>
      <w:gridCol w:w="6350"/>
    </w:tblGrid>
    <w:tr>
      <w:tc>
        <w:tcPr>
          <w:tcW w:type="dxa" w:w="4876"/>
        </w:tcPr>
        <w:p>
          <w:pPr>
            <w:spacing w:after="0"/>
          </w:pPr>
          <w:r>
            <w:drawing>
              <wp:inline xmlns:a="http://schemas.openxmlformats.org/drawingml/2006/main" xmlns:pic="http://schemas.openxmlformats.org/drawingml/2006/picture">
                <wp:extent cx="342000" cy="342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mie_entete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000" cy="34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876"/>
        </w:tcPr>
        <w:p>
          <w:pPr>
            <w:spacing w:after="0" w:before="20"/>
            <w:jc w:val="right"/>
          </w:pPr>
          <w:r/>
          <w:r>
            <w:rPr>
              <w:rFonts w:ascii="Arial" w:hAnsi="Arial"/>
              <w:b/>
              <w:color w:val="1F3864"/>
              <w:sz w:val="18"/>
            </w:rPr>
            <w:t>Cadre logique · Structuration des parcours B1/B2 · B1B2-2026</w:t>
          </w:r>
        </w:p>
      </w:tc>
    </w:tr>
  </w:tbl>
  <w:p>
    <w:pPr>
      <w:spacing w:before="40" w:after="0"/>
      <w:pBdr>
        <w:bottom w:val="single" w:sz="6" w:color="1F3864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