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D0D35" w14:textId="77777777" w:rsidR="00C87D7C" w:rsidRDefault="00C87D7C" w:rsidP="00C87D7C">
      <w:pPr>
        <w:pStyle w:val="Title"/>
        <w:spacing w:before="480"/>
        <w:ind w:left="-90"/>
        <w:jc w:val="center"/>
      </w:pPr>
    </w:p>
    <w:p w14:paraId="6EF5B5E7" w14:textId="0DE68946" w:rsidR="003F78CF" w:rsidRPr="009243FB" w:rsidRDefault="003F78CF" w:rsidP="00C87D7C">
      <w:pPr>
        <w:pStyle w:val="Title"/>
        <w:spacing w:before="480"/>
        <w:ind w:left="-90"/>
        <w:jc w:val="center"/>
      </w:pPr>
      <w:r w:rsidRPr="009243FB">
        <w:t>Propositions d’amélioration de l’é</w:t>
      </w:r>
      <w:r w:rsidRPr="009243FB">
        <w:t>tude de cas :</w:t>
      </w:r>
    </w:p>
    <w:p w14:paraId="635061AA" w14:textId="77777777" w:rsidR="003F78CF" w:rsidRPr="009243FB" w:rsidRDefault="003F78CF" w:rsidP="00C87D7C">
      <w:pPr>
        <w:pStyle w:val="Title"/>
        <w:spacing w:before="480"/>
        <w:ind w:left="-90"/>
        <w:jc w:val="center"/>
      </w:pPr>
      <w:r w:rsidRPr="009243FB">
        <w:t>Apprentissage du métier de facteur</w:t>
      </w:r>
    </w:p>
    <w:p w14:paraId="1DBFB59D" w14:textId="77777777" w:rsidR="003F78CF" w:rsidRPr="009243FB" w:rsidRDefault="003F78CF" w:rsidP="00C87D7C">
      <w:pPr>
        <w:jc w:val="both"/>
      </w:pPr>
      <w:bookmarkStart w:id="0" w:name="_heading=h.30j0zll" w:colFirst="0" w:colLast="0"/>
      <w:bookmarkEnd w:id="0"/>
    </w:p>
    <w:p w14:paraId="5EA70F5E" w14:textId="77777777" w:rsidR="003F78CF" w:rsidRDefault="003F78CF" w:rsidP="00C87D7C">
      <w:pPr>
        <w:jc w:val="center"/>
        <w:rPr>
          <w:b/>
        </w:rPr>
      </w:pPr>
    </w:p>
    <w:p w14:paraId="02508C08" w14:textId="77777777" w:rsidR="00C87D7C" w:rsidRPr="009243FB" w:rsidRDefault="00C87D7C" w:rsidP="00C87D7C">
      <w:pPr>
        <w:jc w:val="center"/>
        <w:rPr>
          <w:b/>
        </w:rPr>
      </w:pPr>
    </w:p>
    <w:p w14:paraId="14FD1CA6" w14:textId="7C7CF807" w:rsidR="003F78CF" w:rsidRPr="009243FB" w:rsidRDefault="003F78CF" w:rsidP="00C87D7C">
      <w:pPr>
        <w:jc w:val="center"/>
        <w:rPr>
          <w:b/>
        </w:rPr>
      </w:pPr>
      <w:r w:rsidRPr="009243FB">
        <w:rPr>
          <w:b/>
        </w:rPr>
        <w:t xml:space="preserve">Réalisée par : </w:t>
      </w:r>
      <w:r w:rsidRPr="009243FB">
        <w:t>Mohamed Amine EL AFRIT</w:t>
      </w:r>
    </w:p>
    <w:p w14:paraId="4D40C420" w14:textId="77777777" w:rsidR="003F78CF" w:rsidRPr="009243FB" w:rsidRDefault="003F78CF" w:rsidP="00C87D7C">
      <w:pPr>
        <w:ind w:left="-90"/>
        <w:jc w:val="center"/>
      </w:pPr>
    </w:p>
    <w:p w14:paraId="48B0E5D4" w14:textId="77777777" w:rsidR="003F78CF" w:rsidRDefault="003F78CF" w:rsidP="00C87D7C">
      <w:pPr>
        <w:jc w:val="center"/>
        <w:rPr>
          <w:b/>
        </w:rPr>
      </w:pPr>
      <w:bookmarkStart w:id="1" w:name="_heading=h.1fob9te" w:colFirst="0" w:colLast="0"/>
      <w:bookmarkEnd w:id="1"/>
    </w:p>
    <w:p w14:paraId="3A5F0CDD" w14:textId="77777777" w:rsidR="00C87D7C" w:rsidRPr="009243FB" w:rsidRDefault="00C87D7C" w:rsidP="00C87D7C">
      <w:pPr>
        <w:jc w:val="center"/>
        <w:rPr>
          <w:b/>
        </w:rPr>
      </w:pPr>
    </w:p>
    <w:p w14:paraId="456DC690" w14:textId="77777777" w:rsidR="003F78CF" w:rsidRPr="009243FB" w:rsidRDefault="003F78CF" w:rsidP="00C87D7C">
      <w:pPr>
        <w:jc w:val="center"/>
        <w:rPr>
          <w:b/>
        </w:rPr>
      </w:pPr>
    </w:p>
    <w:p w14:paraId="18FBCE6E" w14:textId="77777777" w:rsidR="003F78CF" w:rsidRPr="009243FB" w:rsidRDefault="003F78CF" w:rsidP="00C87D7C">
      <w:pPr>
        <w:jc w:val="center"/>
      </w:pPr>
    </w:p>
    <w:p w14:paraId="0F2B115B" w14:textId="2D7F1B24" w:rsidR="003F78CF" w:rsidRPr="009243FB" w:rsidRDefault="003F78CF" w:rsidP="00C87D7C">
      <w:pPr>
        <w:jc w:val="center"/>
      </w:pPr>
      <w:r w:rsidRPr="009243FB">
        <w:t xml:space="preserve">Ce rapport </w:t>
      </w:r>
      <w:r w:rsidRPr="009243FB">
        <w:t>est</w:t>
      </w:r>
      <w:r w:rsidRPr="009243FB">
        <w:t xml:space="preserve"> à l’adresse suivante :</w:t>
      </w:r>
    </w:p>
    <w:p w14:paraId="024576CD" w14:textId="77777777" w:rsidR="003F78CF" w:rsidRPr="009243FB" w:rsidRDefault="003F78CF" w:rsidP="00C87D7C">
      <w:pPr>
        <w:jc w:val="center"/>
      </w:pPr>
      <w:hyperlink r:id="rId7" w:history="1">
        <w:r w:rsidRPr="009243FB">
          <w:rPr>
            <w:rStyle w:val="Hyperlink"/>
          </w:rPr>
          <w:t>www.mohamedelafrit.com/fad118</w:t>
        </w:r>
      </w:hyperlink>
    </w:p>
    <w:p w14:paraId="3DEB466D" w14:textId="77777777" w:rsidR="003F78CF" w:rsidRPr="009243FB" w:rsidRDefault="003F78CF" w:rsidP="00C87D7C">
      <w:pPr>
        <w:jc w:val="center"/>
      </w:pPr>
    </w:p>
    <w:p w14:paraId="58F32C02" w14:textId="0040FE43" w:rsidR="003F78CF" w:rsidRPr="009243FB" w:rsidRDefault="003F78CF" w:rsidP="00C87D7C">
      <w:pPr>
        <w:spacing w:after="160" w:line="259" w:lineRule="auto"/>
        <w:jc w:val="center"/>
      </w:pPr>
      <w:r w:rsidRPr="009243FB">
        <w:br w:type="page"/>
      </w:r>
    </w:p>
    <w:p w14:paraId="5866FD12" w14:textId="51236342" w:rsidR="00AA6300" w:rsidRPr="009243FB" w:rsidRDefault="00AA6300" w:rsidP="00C87D7C">
      <w:pPr>
        <w:jc w:val="both"/>
      </w:pPr>
    </w:p>
    <w:p w14:paraId="0695ADFF" w14:textId="5BC5E4E3" w:rsidR="00297EC2" w:rsidRPr="009243FB" w:rsidRDefault="003B2B60" w:rsidP="00C87D7C">
      <w:pPr>
        <w:jc w:val="both"/>
      </w:pPr>
      <w:r w:rsidRPr="009243FB">
        <w:t xml:space="preserve">Les propositions ci-dessous sont détaillées plus bas dans ce document. </w:t>
      </w:r>
    </w:p>
    <w:p w14:paraId="5E1EADB8" w14:textId="77777777" w:rsidR="003B2B60" w:rsidRPr="009243FB" w:rsidRDefault="003B2B60" w:rsidP="00C87D7C">
      <w:pPr>
        <w:jc w:val="both"/>
      </w:pPr>
    </w:p>
    <w:p w14:paraId="54D995F8" w14:textId="0756C6AD" w:rsidR="00297EC2" w:rsidRDefault="00297EC2" w:rsidP="00C87D7C">
      <w:pPr>
        <w:pStyle w:val="Heading1"/>
        <w:jc w:val="both"/>
      </w:pPr>
      <w:r w:rsidRPr="009243FB">
        <w:t xml:space="preserve">Propositions d’amélioration  </w:t>
      </w:r>
    </w:p>
    <w:p w14:paraId="2EA83DC7" w14:textId="77777777" w:rsidR="009243FB" w:rsidRPr="009243FB" w:rsidRDefault="009243FB" w:rsidP="00C87D7C">
      <w:pPr>
        <w:jc w:val="both"/>
      </w:pPr>
    </w:p>
    <w:p w14:paraId="3D4B612A" w14:textId="74E05679" w:rsidR="00297EC2" w:rsidRPr="009243FB" w:rsidRDefault="009243FB" w:rsidP="00C87D7C">
      <w:pPr>
        <w:pStyle w:val="ListParagraph"/>
        <w:numPr>
          <w:ilvl w:val="0"/>
          <w:numId w:val="2"/>
        </w:numPr>
        <w:jc w:val="both"/>
      </w:pPr>
      <w:r w:rsidRPr="009243FB">
        <w:t>F</w:t>
      </w:r>
      <w:r w:rsidR="00297EC2" w:rsidRPr="009243FB">
        <w:t xml:space="preserve">orme du rapport </w:t>
      </w:r>
    </w:p>
    <w:p w14:paraId="325DB114" w14:textId="23C8772F" w:rsidR="00297EC2" w:rsidRPr="009243FB" w:rsidRDefault="00AC1029" w:rsidP="00C87D7C">
      <w:pPr>
        <w:pStyle w:val="ListParagraph"/>
        <w:numPr>
          <w:ilvl w:val="1"/>
          <w:numId w:val="2"/>
        </w:numPr>
        <w:jc w:val="both"/>
      </w:pPr>
      <w:r w:rsidRPr="009243FB">
        <w:t>Élaboration d’un résumé exécutif et d’une infographie synthétisant les points clés</w:t>
      </w:r>
      <w:r w:rsidRPr="009243FB">
        <w:t xml:space="preserve"> </w:t>
      </w:r>
    </w:p>
    <w:p w14:paraId="003422C6" w14:textId="5AA95C43" w:rsidR="00AC1029" w:rsidRPr="009243FB" w:rsidRDefault="00AC1029" w:rsidP="00C87D7C">
      <w:pPr>
        <w:pStyle w:val="ListParagraph"/>
        <w:numPr>
          <w:ilvl w:val="0"/>
          <w:numId w:val="2"/>
        </w:numPr>
        <w:jc w:val="both"/>
      </w:pPr>
      <w:r w:rsidRPr="009243FB">
        <w:t xml:space="preserve">Personnalisation et </w:t>
      </w:r>
      <w:r w:rsidRPr="009243FB">
        <w:t>s</w:t>
      </w:r>
      <w:r w:rsidRPr="009243FB">
        <w:t xml:space="preserve">uivi </w:t>
      </w:r>
      <w:r w:rsidRPr="009243FB">
        <w:t>i</w:t>
      </w:r>
      <w:r w:rsidRPr="009243FB">
        <w:t>ndividualisé</w:t>
      </w:r>
    </w:p>
    <w:p w14:paraId="0BBA55E7" w14:textId="0D788D96" w:rsidR="00AC1029" w:rsidRPr="009243FB" w:rsidRDefault="00AC1029" w:rsidP="00C87D7C">
      <w:pPr>
        <w:pStyle w:val="ListParagraph"/>
        <w:numPr>
          <w:ilvl w:val="1"/>
          <w:numId w:val="2"/>
        </w:numPr>
        <w:jc w:val="both"/>
      </w:pPr>
      <w:r w:rsidRPr="009243FB">
        <w:t>Création d’un dispositif de tutorat post-formation et de coaching personnalisé</w:t>
      </w:r>
    </w:p>
    <w:p w14:paraId="3EDA04F9" w14:textId="44849E77" w:rsidR="00AC1029" w:rsidRPr="009243FB" w:rsidRDefault="009243FB" w:rsidP="00C87D7C">
      <w:pPr>
        <w:pStyle w:val="ListParagraph"/>
        <w:numPr>
          <w:ilvl w:val="0"/>
          <w:numId w:val="2"/>
        </w:numPr>
        <w:jc w:val="both"/>
      </w:pPr>
      <w:r w:rsidRPr="009243FB">
        <w:t>M</w:t>
      </w:r>
      <w:r w:rsidR="00AC1029" w:rsidRPr="009243FB">
        <w:t>odalités d'</w:t>
      </w:r>
      <w:r w:rsidR="00AC1029" w:rsidRPr="009243FB">
        <w:t>é</w:t>
      </w:r>
      <w:r w:rsidR="00AC1029" w:rsidRPr="009243FB">
        <w:t>valuation</w:t>
      </w:r>
      <w:r w:rsidRPr="009243FB">
        <w:t xml:space="preserve"> du dispositif de formation </w:t>
      </w:r>
    </w:p>
    <w:p w14:paraId="4FCC0F50" w14:textId="5AC15AC2" w:rsidR="00AC1029" w:rsidRPr="009243FB" w:rsidRDefault="00AC1029" w:rsidP="00C87D7C">
      <w:pPr>
        <w:pStyle w:val="ListParagraph"/>
        <w:numPr>
          <w:ilvl w:val="1"/>
          <w:numId w:val="2"/>
        </w:numPr>
        <w:jc w:val="both"/>
      </w:pPr>
      <w:r w:rsidRPr="009243FB">
        <w:t xml:space="preserve">Définition précises des critères </w:t>
      </w:r>
      <w:r w:rsidR="009243FB" w:rsidRPr="009243FB">
        <w:t xml:space="preserve">et indicateurs </w:t>
      </w:r>
      <w:r w:rsidRPr="009243FB">
        <w:t xml:space="preserve">d’évaluation </w:t>
      </w:r>
    </w:p>
    <w:p w14:paraId="707ACA58" w14:textId="2EC02029" w:rsidR="00AC1029" w:rsidRPr="009243FB" w:rsidRDefault="00AC1029" w:rsidP="00C87D7C">
      <w:pPr>
        <w:pStyle w:val="ListParagraph"/>
        <w:numPr>
          <w:ilvl w:val="1"/>
          <w:numId w:val="2"/>
        </w:numPr>
        <w:jc w:val="both"/>
      </w:pPr>
      <w:r w:rsidRPr="009243FB">
        <w:t xml:space="preserve">Mise en place de grille d’évaluation </w:t>
      </w:r>
    </w:p>
    <w:p w14:paraId="2BDCAC98" w14:textId="77777777" w:rsidR="003B2B60" w:rsidRPr="009243FB" w:rsidRDefault="003B2B60" w:rsidP="00C87D7C">
      <w:pPr>
        <w:jc w:val="both"/>
      </w:pPr>
    </w:p>
    <w:p w14:paraId="1D28EB79" w14:textId="77777777" w:rsidR="003B2B60" w:rsidRPr="009243FB" w:rsidRDefault="003B2B60" w:rsidP="00C87D7C">
      <w:pPr>
        <w:jc w:val="both"/>
      </w:pPr>
    </w:p>
    <w:p w14:paraId="7BE131B6" w14:textId="093D1AAB" w:rsidR="003B2B60" w:rsidRPr="009243FB" w:rsidRDefault="003B2B60" w:rsidP="00C87D7C">
      <w:pPr>
        <w:spacing w:after="160" w:line="259" w:lineRule="auto"/>
        <w:jc w:val="both"/>
      </w:pPr>
      <w:r w:rsidRPr="009243FB">
        <w:br w:type="page"/>
      </w:r>
    </w:p>
    <w:p w14:paraId="0834B5DE" w14:textId="0D3B470F" w:rsidR="003B2B60" w:rsidRPr="009243FB" w:rsidRDefault="003B2B60" w:rsidP="00C87D7C">
      <w:pPr>
        <w:pStyle w:val="Heading2"/>
        <w:numPr>
          <w:ilvl w:val="0"/>
          <w:numId w:val="13"/>
        </w:numPr>
        <w:jc w:val="both"/>
      </w:pPr>
      <w:r w:rsidRPr="009243FB">
        <w:lastRenderedPageBreak/>
        <w:t xml:space="preserve">Résumé exécutif </w:t>
      </w:r>
    </w:p>
    <w:p w14:paraId="4A5CFDCB" w14:textId="77777777" w:rsidR="003B2B60" w:rsidRPr="009243FB" w:rsidRDefault="003B2B60" w:rsidP="00C87D7C">
      <w:pPr>
        <w:jc w:val="both"/>
      </w:pPr>
    </w:p>
    <w:p w14:paraId="6613A5A9" w14:textId="77777777" w:rsidR="003B2B60" w:rsidRPr="003B2B60" w:rsidRDefault="003B2B60" w:rsidP="00C87D7C">
      <w:pPr>
        <w:jc w:val="both"/>
      </w:pPr>
      <w:r w:rsidRPr="003B2B60">
        <w:t>Ce rapport présente l’ingénierie d’une action de formation dédiée au métier de facteur, avec une approche différenciée entre les tuteurs et les apprentis. L’objectif est de structurer un dispositif pédagogique permettant une transmission efficace des savoirs et une montée en compétences progressive.</w:t>
      </w:r>
    </w:p>
    <w:p w14:paraId="1AC72115" w14:textId="20168B71" w:rsidR="003B2B60" w:rsidRPr="003B2B60" w:rsidRDefault="003B2B60" w:rsidP="00C87D7C">
      <w:pPr>
        <w:pStyle w:val="Heading3"/>
        <w:numPr>
          <w:ilvl w:val="1"/>
          <w:numId w:val="14"/>
        </w:numPr>
        <w:jc w:val="both"/>
      </w:pPr>
      <w:r w:rsidRPr="003B2B60">
        <w:t>Contexte et enjeux</w:t>
      </w:r>
    </w:p>
    <w:p w14:paraId="644CF08D" w14:textId="77777777" w:rsidR="003B2B60" w:rsidRPr="003B2B60" w:rsidRDefault="003B2B60" w:rsidP="00C87D7C">
      <w:pPr>
        <w:jc w:val="both"/>
      </w:pPr>
      <w:r w:rsidRPr="003B2B60">
        <w:t>L’étude repose sur l’analyse de dialogues entre tuteurs et apprentis, identifiant cinq enjeux majeurs :</w:t>
      </w:r>
    </w:p>
    <w:p w14:paraId="76B54DD3" w14:textId="77777777" w:rsidR="003B2B60" w:rsidRPr="003B2B60" w:rsidRDefault="003B2B60" w:rsidP="00C87D7C">
      <w:pPr>
        <w:numPr>
          <w:ilvl w:val="0"/>
          <w:numId w:val="3"/>
        </w:numPr>
        <w:jc w:val="both"/>
      </w:pPr>
      <w:r w:rsidRPr="003B2B60">
        <w:rPr>
          <w:b/>
          <w:bCs/>
        </w:rPr>
        <w:t>Rigueur et précision</w:t>
      </w:r>
      <w:r w:rsidRPr="003B2B60">
        <w:t xml:space="preserve"> : gestion des courriers et documentation des incidents.</w:t>
      </w:r>
    </w:p>
    <w:p w14:paraId="24779A7B" w14:textId="77777777" w:rsidR="003B2B60" w:rsidRPr="003B2B60" w:rsidRDefault="003B2B60" w:rsidP="00C87D7C">
      <w:pPr>
        <w:numPr>
          <w:ilvl w:val="0"/>
          <w:numId w:val="3"/>
        </w:numPr>
        <w:jc w:val="both"/>
      </w:pPr>
      <w:r w:rsidRPr="003B2B60">
        <w:rPr>
          <w:b/>
          <w:bCs/>
        </w:rPr>
        <w:t>Organisation et logistique</w:t>
      </w:r>
      <w:r w:rsidRPr="003B2B60">
        <w:t xml:space="preserve"> : optimisation des tournées et tri efficace.</w:t>
      </w:r>
    </w:p>
    <w:p w14:paraId="1B6E19DB" w14:textId="77777777" w:rsidR="003B2B60" w:rsidRPr="003B2B60" w:rsidRDefault="003B2B60" w:rsidP="00C87D7C">
      <w:pPr>
        <w:numPr>
          <w:ilvl w:val="0"/>
          <w:numId w:val="3"/>
        </w:numPr>
        <w:jc w:val="both"/>
      </w:pPr>
      <w:r w:rsidRPr="003B2B60">
        <w:rPr>
          <w:b/>
          <w:bCs/>
        </w:rPr>
        <w:t>Relation client</w:t>
      </w:r>
      <w:r w:rsidRPr="003B2B60">
        <w:t xml:space="preserve"> : professionnalisation des interactions avec les destinataires.</w:t>
      </w:r>
    </w:p>
    <w:p w14:paraId="69E2B0BC" w14:textId="77777777" w:rsidR="003B2B60" w:rsidRPr="003B2B60" w:rsidRDefault="003B2B60" w:rsidP="00C87D7C">
      <w:pPr>
        <w:numPr>
          <w:ilvl w:val="0"/>
          <w:numId w:val="3"/>
        </w:numPr>
        <w:jc w:val="both"/>
      </w:pPr>
      <w:r w:rsidRPr="003B2B60">
        <w:rPr>
          <w:b/>
          <w:bCs/>
        </w:rPr>
        <w:t>Sécurité et prévention</w:t>
      </w:r>
      <w:r w:rsidRPr="003B2B60">
        <w:t xml:space="preserve"> : application des règles pour prévenir les risques.</w:t>
      </w:r>
    </w:p>
    <w:p w14:paraId="38A315C2" w14:textId="77777777" w:rsidR="003B2B60" w:rsidRPr="003B2B60" w:rsidRDefault="003B2B60" w:rsidP="00C87D7C">
      <w:pPr>
        <w:numPr>
          <w:ilvl w:val="0"/>
          <w:numId w:val="3"/>
        </w:numPr>
        <w:jc w:val="both"/>
      </w:pPr>
      <w:r w:rsidRPr="003B2B60">
        <w:rPr>
          <w:b/>
          <w:bCs/>
        </w:rPr>
        <w:t>Autonomie et prise de décision</w:t>
      </w:r>
      <w:r w:rsidRPr="003B2B60">
        <w:t xml:space="preserve"> : accompagnement vers l’indépendance.</w:t>
      </w:r>
    </w:p>
    <w:p w14:paraId="638677CF" w14:textId="4E109B93" w:rsidR="003B2B60" w:rsidRPr="003B2B60" w:rsidRDefault="003B2B60" w:rsidP="00C87D7C">
      <w:pPr>
        <w:pStyle w:val="Heading3"/>
        <w:numPr>
          <w:ilvl w:val="1"/>
          <w:numId w:val="14"/>
        </w:numPr>
        <w:jc w:val="both"/>
      </w:pPr>
      <w:r w:rsidRPr="003B2B60">
        <w:t>Dispositif de formation</w:t>
      </w:r>
    </w:p>
    <w:p w14:paraId="38AF3337" w14:textId="77777777" w:rsidR="003B2B60" w:rsidRPr="003B2B60" w:rsidRDefault="003B2B60" w:rsidP="00C87D7C">
      <w:pPr>
        <w:jc w:val="both"/>
      </w:pPr>
      <w:r w:rsidRPr="003B2B60">
        <w:t>Deux formations distinctes sont proposées :</w:t>
      </w:r>
    </w:p>
    <w:p w14:paraId="344C97DA" w14:textId="77777777" w:rsidR="003B2B60" w:rsidRPr="003B2B60" w:rsidRDefault="003B2B60" w:rsidP="00C87D7C">
      <w:pPr>
        <w:numPr>
          <w:ilvl w:val="0"/>
          <w:numId w:val="4"/>
        </w:numPr>
        <w:jc w:val="both"/>
      </w:pPr>
      <w:r w:rsidRPr="003B2B60">
        <w:rPr>
          <w:b/>
          <w:bCs/>
        </w:rPr>
        <w:t>Formation des tuteurs</w:t>
      </w:r>
      <w:r w:rsidRPr="003B2B60">
        <w:t xml:space="preserve"> (3 heures) : professionnalisation de l’accompagnement des apprentis via des méthodes pédagogiques adaptées, la gestion des relations tutorales et la transmission des savoir-faire.</w:t>
      </w:r>
    </w:p>
    <w:p w14:paraId="796A5BFC" w14:textId="77777777" w:rsidR="003B2B60" w:rsidRPr="003B2B60" w:rsidRDefault="003B2B60" w:rsidP="00C87D7C">
      <w:pPr>
        <w:numPr>
          <w:ilvl w:val="0"/>
          <w:numId w:val="4"/>
        </w:numPr>
        <w:jc w:val="both"/>
      </w:pPr>
      <w:r w:rsidRPr="003B2B60">
        <w:rPr>
          <w:b/>
          <w:bCs/>
        </w:rPr>
        <w:t>Formation des apprentis</w:t>
      </w:r>
      <w:r w:rsidRPr="003B2B60">
        <w:t xml:space="preserve"> (3 heures) : acquisition des compétences métier via des mises en situation, des supports interactifs et des exercices pratiques.</w:t>
      </w:r>
    </w:p>
    <w:p w14:paraId="0057D1EE" w14:textId="56184646" w:rsidR="003B2B60" w:rsidRPr="003B2B60" w:rsidRDefault="003B2B60" w:rsidP="00C87D7C">
      <w:pPr>
        <w:pStyle w:val="Heading3"/>
        <w:numPr>
          <w:ilvl w:val="1"/>
          <w:numId w:val="14"/>
        </w:numPr>
        <w:jc w:val="both"/>
      </w:pPr>
      <w:r w:rsidRPr="003B2B60">
        <w:t>Objectifs pédagogiques</w:t>
      </w:r>
    </w:p>
    <w:p w14:paraId="441D42D8" w14:textId="77777777" w:rsidR="003B2B60" w:rsidRPr="003B2B60" w:rsidRDefault="003B2B60" w:rsidP="00C87D7C">
      <w:pPr>
        <w:numPr>
          <w:ilvl w:val="0"/>
          <w:numId w:val="5"/>
        </w:numPr>
        <w:jc w:val="both"/>
      </w:pPr>
      <w:r w:rsidRPr="003B2B60">
        <w:rPr>
          <w:b/>
          <w:bCs/>
        </w:rPr>
        <w:t>Tuteurs</w:t>
      </w:r>
      <w:r w:rsidRPr="003B2B60">
        <w:t xml:space="preserve"> : adopter des méthodes de tutorat efficaces, fournir un feedback structuré, et accompagner l’apprenti vers l’autonomie.</w:t>
      </w:r>
    </w:p>
    <w:p w14:paraId="319A38D4" w14:textId="77777777" w:rsidR="003B2B60" w:rsidRPr="003B2B60" w:rsidRDefault="003B2B60" w:rsidP="00C87D7C">
      <w:pPr>
        <w:numPr>
          <w:ilvl w:val="0"/>
          <w:numId w:val="5"/>
        </w:numPr>
        <w:jc w:val="both"/>
      </w:pPr>
      <w:r w:rsidRPr="003B2B60">
        <w:rPr>
          <w:b/>
          <w:bCs/>
        </w:rPr>
        <w:t>Apprentis</w:t>
      </w:r>
      <w:r w:rsidRPr="003B2B60">
        <w:t xml:space="preserve"> : maîtriser la distribution des courriers, interagir avec les clients, respecter les consignes de sécurité et s’adapter aux imprévus.</w:t>
      </w:r>
    </w:p>
    <w:p w14:paraId="0482F583" w14:textId="09A7008D" w:rsidR="003B2B60" w:rsidRPr="003B2B60" w:rsidRDefault="003B2B60" w:rsidP="00C87D7C">
      <w:pPr>
        <w:pStyle w:val="Heading3"/>
        <w:numPr>
          <w:ilvl w:val="1"/>
          <w:numId w:val="14"/>
        </w:numPr>
        <w:jc w:val="both"/>
      </w:pPr>
      <w:r w:rsidRPr="003B2B60">
        <w:t>Scénarios pédagogiques</w:t>
      </w:r>
    </w:p>
    <w:p w14:paraId="2F11438F" w14:textId="77777777" w:rsidR="003B2B60" w:rsidRPr="003B2B60" w:rsidRDefault="003B2B60" w:rsidP="00C87D7C">
      <w:pPr>
        <w:jc w:val="both"/>
      </w:pPr>
      <w:r w:rsidRPr="003B2B60">
        <w:t>Chaque formation est divisée en trois séquences d’une heure :</w:t>
      </w:r>
    </w:p>
    <w:p w14:paraId="44599BCB" w14:textId="77777777" w:rsidR="003B2B60" w:rsidRPr="003B2B60" w:rsidRDefault="003B2B60" w:rsidP="00C87D7C">
      <w:pPr>
        <w:numPr>
          <w:ilvl w:val="0"/>
          <w:numId w:val="6"/>
        </w:numPr>
        <w:jc w:val="both"/>
      </w:pPr>
      <w:r w:rsidRPr="003B2B60">
        <w:rPr>
          <w:b/>
          <w:bCs/>
        </w:rPr>
        <w:t>Tuteurs</w:t>
      </w:r>
      <w:r w:rsidRPr="003B2B60">
        <w:t xml:space="preserve"> : méthodes pédagogiques, relation tutorale, gestion des situations difficiles.</w:t>
      </w:r>
    </w:p>
    <w:p w14:paraId="3CBA823A" w14:textId="77777777" w:rsidR="003B2B60" w:rsidRPr="003B2B60" w:rsidRDefault="003B2B60" w:rsidP="00C87D7C">
      <w:pPr>
        <w:numPr>
          <w:ilvl w:val="0"/>
          <w:numId w:val="6"/>
        </w:numPr>
        <w:jc w:val="both"/>
      </w:pPr>
      <w:r w:rsidRPr="003B2B60">
        <w:rPr>
          <w:b/>
          <w:bCs/>
        </w:rPr>
        <w:t>Apprentis</w:t>
      </w:r>
      <w:r w:rsidRPr="003B2B60">
        <w:t xml:space="preserve"> : réglementation et sécurité, organisation et méthodologie, relation client et communication.</w:t>
      </w:r>
    </w:p>
    <w:p w14:paraId="5A22CFD9" w14:textId="414E2C4E" w:rsidR="003B2B60" w:rsidRPr="003B2B60" w:rsidRDefault="003B2B60" w:rsidP="00C87D7C">
      <w:pPr>
        <w:pStyle w:val="Heading3"/>
        <w:numPr>
          <w:ilvl w:val="1"/>
          <w:numId w:val="14"/>
        </w:numPr>
        <w:jc w:val="both"/>
      </w:pPr>
      <w:r w:rsidRPr="003B2B60">
        <w:t>Valeur ajoutée et impact</w:t>
      </w:r>
    </w:p>
    <w:p w14:paraId="048C9D70" w14:textId="77777777" w:rsidR="003B2B60" w:rsidRPr="003B2B60" w:rsidRDefault="003B2B60" w:rsidP="00C87D7C">
      <w:pPr>
        <w:jc w:val="both"/>
      </w:pPr>
      <w:r w:rsidRPr="003B2B60">
        <w:t>La différenciation des formations optimise l’apprentissage et garantit :</w:t>
      </w:r>
    </w:p>
    <w:p w14:paraId="218090DB" w14:textId="77777777" w:rsidR="003B2B60" w:rsidRPr="003B2B60" w:rsidRDefault="003B2B60" w:rsidP="00C87D7C">
      <w:pPr>
        <w:numPr>
          <w:ilvl w:val="0"/>
          <w:numId w:val="7"/>
        </w:numPr>
        <w:jc w:val="both"/>
      </w:pPr>
      <w:r w:rsidRPr="003B2B60">
        <w:t>Une intégration plus rapide et efficace des apprentis.</w:t>
      </w:r>
    </w:p>
    <w:p w14:paraId="5C41D9C1" w14:textId="77777777" w:rsidR="003B2B60" w:rsidRPr="003B2B60" w:rsidRDefault="003B2B60" w:rsidP="00C87D7C">
      <w:pPr>
        <w:numPr>
          <w:ilvl w:val="0"/>
          <w:numId w:val="7"/>
        </w:numPr>
        <w:jc w:val="both"/>
      </w:pPr>
      <w:r w:rsidRPr="003B2B60">
        <w:t>Une meilleure structuration des savoirs pour les tuteurs.</w:t>
      </w:r>
    </w:p>
    <w:p w14:paraId="654BA3CB" w14:textId="77777777" w:rsidR="003B2B60" w:rsidRPr="003B2B60" w:rsidRDefault="003B2B60" w:rsidP="00C87D7C">
      <w:pPr>
        <w:numPr>
          <w:ilvl w:val="0"/>
          <w:numId w:val="7"/>
        </w:numPr>
        <w:jc w:val="both"/>
      </w:pPr>
      <w:r w:rsidRPr="003B2B60">
        <w:t>Une réduction des erreurs et une amélioration du service client.</w:t>
      </w:r>
    </w:p>
    <w:p w14:paraId="21D7850E" w14:textId="77777777" w:rsidR="003B2B60" w:rsidRPr="003B2B60" w:rsidRDefault="003B2B60" w:rsidP="00C87D7C">
      <w:pPr>
        <w:numPr>
          <w:ilvl w:val="0"/>
          <w:numId w:val="7"/>
        </w:numPr>
        <w:jc w:val="both"/>
      </w:pPr>
      <w:r w:rsidRPr="003B2B60">
        <w:t>Un retour sur investissement via une montée en compétences durable.</w:t>
      </w:r>
    </w:p>
    <w:p w14:paraId="3091FCF0" w14:textId="77777777" w:rsidR="003B2B60" w:rsidRPr="009243FB" w:rsidRDefault="003B2B60" w:rsidP="00C87D7C">
      <w:pPr>
        <w:jc w:val="both"/>
      </w:pPr>
    </w:p>
    <w:p w14:paraId="4E712508" w14:textId="65A689A8" w:rsidR="00CE5473" w:rsidRPr="009243FB" w:rsidRDefault="00CE5473" w:rsidP="00C87D7C">
      <w:pPr>
        <w:spacing w:after="160" w:line="259" w:lineRule="auto"/>
        <w:jc w:val="both"/>
      </w:pPr>
      <w:r w:rsidRPr="009243FB">
        <w:br w:type="page"/>
      </w:r>
    </w:p>
    <w:p w14:paraId="5FF3D6B3" w14:textId="7AAC0B07" w:rsidR="009243FB" w:rsidRDefault="009243FB" w:rsidP="00C87D7C">
      <w:pPr>
        <w:pStyle w:val="Heading2"/>
        <w:numPr>
          <w:ilvl w:val="0"/>
          <w:numId w:val="13"/>
        </w:numPr>
        <w:jc w:val="both"/>
      </w:pPr>
      <w:r w:rsidRPr="009243FB">
        <w:lastRenderedPageBreak/>
        <w:t xml:space="preserve">Personnalisation et </w:t>
      </w:r>
      <w:r w:rsidR="00481B4E">
        <w:t>s</w:t>
      </w:r>
      <w:r w:rsidRPr="009243FB">
        <w:t xml:space="preserve">uivi </w:t>
      </w:r>
      <w:r w:rsidR="00481B4E">
        <w:t>i</w:t>
      </w:r>
      <w:r w:rsidRPr="009243FB">
        <w:t>ndividualisé</w:t>
      </w:r>
    </w:p>
    <w:p w14:paraId="66BC90C0" w14:textId="19A0D755" w:rsidR="00C87D7C" w:rsidRPr="00C87D7C" w:rsidRDefault="003871FB" w:rsidP="003871FB">
      <w:r>
        <w:t>Il s’agit de créer</w:t>
      </w:r>
      <w:r w:rsidR="00C87D7C" w:rsidRPr="009243FB">
        <w:t xml:space="preserve"> d’un </w:t>
      </w:r>
      <w:r w:rsidR="00481B4E">
        <w:t>d</w:t>
      </w:r>
      <w:r w:rsidR="00C87D7C" w:rsidRPr="009243FB">
        <w:t xml:space="preserve">ispositif de </w:t>
      </w:r>
      <w:r w:rsidR="00481B4E">
        <w:t>t</w:t>
      </w:r>
      <w:r w:rsidR="00C87D7C" w:rsidRPr="009243FB">
        <w:t xml:space="preserve">utorat </w:t>
      </w:r>
      <w:r w:rsidR="00481B4E">
        <w:t>p</w:t>
      </w:r>
      <w:r w:rsidR="00C87D7C" w:rsidRPr="009243FB">
        <w:t>ost-</w:t>
      </w:r>
      <w:r w:rsidR="00481B4E">
        <w:t>f</w:t>
      </w:r>
      <w:r w:rsidR="00C87D7C" w:rsidRPr="009243FB">
        <w:t xml:space="preserve">ormation et de </w:t>
      </w:r>
      <w:r w:rsidR="00481B4E">
        <w:t>c</w:t>
      </w:r>
      <w:r w:rsidR="00C87D7C" w:rsidRPr="009243FB">
        <w:t xml:space="preserve">oaching </w:t>
      </w:r>
      <w:r w:rsidR="00481B4E">
        <w:t>p</w:t>
      </w:r>
      <w:r w:rsidR="00C87D7C" w:rsidRPr="009243FB">
        <w:t>ersonnalisé</w:t>
      </w:r>
    </w:p>
    <w:p w14:paraId="263F03D8" w14:textId="659B4CD2" w:rsidR="00C87D7C" w:rsidRDefault="009243FB" w:rsidP="003871FB">
      <w:pPr>
        <w:pStyle w:val="Heading3"/>
        <w:numPr>
          <w:ilvl w:val="1"/>
          <w:numId w:val="13"/>
        </w:numPr>
      </w:pPr>
      <w:r w:rsidRPr="009243FB">
        <w:t xml:space="preserve">Détail de la </w:t>
      </w:r>
      <w:r w:rsidR="00481B4E">
        <w:t>p</w:t>
      </w:r>
      <w:r w:rsidRPr="009243FB">
        <w:t>roposition :</w:t>
      </w:r>
    </w:p>
    <w:p w14:paraId="647BF6B2" w14:textId="5A833E99" w:rsidR="009243FB" w:rsidRPr="009243FB" w:rsidRDefault="009243FB" w:rsidP="00C87D7C">
      <w:pPr>
        <w:spacing w:after="160" w:line="259" w:lineRule="auto"/>
        <w:jc w:val="both"/>
      </w:pPr>
      <w:r w:rsidRPr="009243FB">
        <w:t>Cette proposition vise à instaurer un système de tutorat et de coaching qui s'étend au-delà de la formation initiale. Concrètement, cela se traduit par la mise en place d'un dispositif structuré où chaque participant (tuteur ou apprenant) est accompagné par un coach ou un mentor dédié pour un suivi personnalisé. Ce dispositif inclut :</w:t>
      </w:r>
    </w:p>
    <w:p w14:paraId="02B3E6C1" w14:textId="77777777" w:rsidR="009243FB" w:rsidRPr="009243FB" w:rsidRDefault="009243FB" w:rsidP="00C87D7C">
      <w:pPr>
        <w:numPr>
          <w:ilvl w:val="0"/>
          <w:numId w:val="8"/>
        </w:numPr>
        <w:spacing w:after="160" w:line="259" w:lineRule="auto"/>
        <w:jc w:val="both"/>
      </w:pPr>
      <w:r w:rsidRPr="009243FB">
        <w:rPr>
          <w:b/>
          <w:bCs/>
        </w:rPr>
        <w:t>Un suivi individualisé :</w:t>
      </w:r>
      <w:r w:rsidRPr="009243FB">
        <w:t xml:space="preserve"> Chaque participant bénéficie d'un plan de développement personnalisé en fonction de ses forces, de ses points à améliorer et de ses objectifs professionnels.</w:t>
      </w:r>
    </w:p>
    <w:p w14:paraId="4AA836A8" w14:textId="77777777" w:rsidR="009243FB" w:rsidRPr="009243FB" w:rsidRDefault="009243FB" w:rsidP="00C87D7C">
      <w:pPr>
        <w:numPr>
          <w:ilvl w:val="0"/>
          <w:numId w:val="8"/>
        </w:numPr>
        <w:spacing w:after="160" w:line="259" w:lineRule="auto"/>
        <w:jc w:val="both"/>
      </w:pPr>
      <w:r w:rsidRPr="009243FB">
        <w:rPr>
          <w:b/>
          <w:bCs/>
        </w:rPr>
        <w:t>Coaching régulier :</w:t>
      </w:r>
      <w:r w:rsidRPr="009243FB">
        <w:t xml:space="preserve"> Des sessions de coaching sont organisées de manière périodique pour aider les participants à surmonter les difficultés rencontrées dans l’application pratique des compétences acquises.</w:t>
      </w:r>
    </w:p>
    <w:p w14:paraId="32459BE2" w14:textId="143A2917" w:rsidR="009243FB" w:rsidRPr="009243FB" w:rsidRDefault="009243FB" w:rsidP="00C87D7C">
      <w:pPr>
        <w:numPr>
          <w:ilvl w:val="0"/>
          <w:numId w:val="8"/>
        </w:numPr>
        <w:spacing w:after="160" w:line="259" w:lineRule="auto"/>
        <w:jc w:val="both"/>
      </w:pPr>
      <w:r w:rsidRPr="009243FB">
        <w:rPr>
          <w:b/>
          <w:bCs/>
        </w:rPr>
        <w:t>Utilisation d’outils digitaux :</w:t>
      </w:r>
      <w:r w:rsidRPr="009243FB">
        <w:t xml:space="preserve"> Des plateformes de suivi et de </w:t>
      </w:r>
      <w:proofErr w:type="spellStart"/>
      <w:r w:rsidRPr="009243FB">
        <w:t>reporting</w:t>
      </w:r>
      <w:proofErr w:type="spellEnd"/>
      <w:r w:rsidR="00481B4E">
        <w:t xml:space="preserve"> </w:t>
      </w:r>
      <w:r w:rsidRPr="009243FB">
        <w:t>permettent d'assurer un suivi continu des progrès.</w:t>
      </w:r>
    </w:p>
    <w:p w14:paraId="3379F735" w14:textId="3F8592E5" w:rsidR="009243FB" w:rsidRPr="009243FB" w:rsidRDefault="009243FB" w:rsidP="003871FB">
      <w:pPr>
        <w:pStyle w:val="Heading3"/>
        <w:numPr>
          <w:ilvl w:val="1"/>
          <w:numId w:val="13"/>
        </w:numPr>
      </w:pPr>
      <w:r w:rsidRPr="009243FB">
        <w:t xml:space="preserve">Justification de la </w:t>
      </w:r>
      <w:r w:rsidR="00481B4E">
        <w:t>p</w:t>
      </w:r>
      <w:r w:rsidRPr="009243FB">
        <w:t>ertinence :</w:t>
      </w:r>
    </w:p>
    <w:p w14:paraId="690D7861" w14:textId="110E3B3E" w:rsidR="009243FB" w:rsidRPr="009243FB" w:rsidRDefault="009243FB" w:rsidP="00C87D7C">
      <w:pPr>
        <w:numPr>
          <w:ilvl w:val="0"/>
          <w:numId w:val="9"/>
        </w:numPr>
        <w:spacing w:after="160" w:line="259" w:lineRule="auto"/>
        <w:jc w:val="both"/>
      </w:pPr>
      <w:r w:rsidRPr="009243FB">
        <w:rPr>
          <w:b/>
          <w:bCs/>
        </w:rPr>
        <w:t xml:space="preserve">Accompagnement </w:t>
      </w:r>
      <w:r w:rsidR="00481B4E">
        <w:rPr>
          <w:b/>
          <w:bCs/>
        </w:rPr>
        <w:t>c</w:t>
      </w:r>
      <w:r w:rsidRPr="009243FB">
        <w:rPr>
          <w:b/>
          <w:bCs/>
        </w:rPr>
        <w:t>ontinu :</w:t>
      </w:r>
      <w:r w:rsidRPr="009243FB">
        <w:t xml:space="preserve"> La formation initiale, bien que complète, ne garantit pas une appropriation durable des compétences. Un suivi post-formation permet de consolider les acquis, d'ajuster les pratiques et de répondre aux problématiques rencontrées en situation réelle.</w:t>
      </w:r>
    </w:p>
    <w:p w14:paraId="44D0100F" w14:textId="35DCD5B2" w:rsidR="009243FB" w:rsidRPr="009243FB" w:rsidRDefault="009243FB" w:rsidP="00C87D7C">
      <w:pPr>
        <w:numPr>
          <w:ilvl w:val="0"/>
          <w:numId w:val="9"/>
        </w:numPr>
        <w:spacing w:after="160" w:line="259" w:lineRule="auto"/>
        <w:jc w:val="both"/>
      </w:pPr>
      <w:r w:rsidRPr="009243FB">
        <w:rPr>
          <w:b/>
          <w:bCs/>
        </w:rPr>
        <w:t xml:space="preserve">Réduction du </w:t>
      </w:r>
      <w:r w:rsidR="00481B4E">
        <w:rPr>
          <w:b/>
          <w:bCs/>
        </w:rPr>
        <w:t>d</w:t>
      </w:r>
      <w:r w:rsidRPr="009243FB">
        <w:rPr>
          <w:b/>
          <w:bCs/>
        </w:rPr>
        <w:t xml:space="preserve">écalage </w:t>
      </w:r>
      <w:r w:rsidR="00481B4E">
        <w:rPr>
          <w:b/>
          <w:bCs/>
        </w:rPr>
        <w:t>t</w:t>
      </w:r>
      <w:r w:rsidRPr="009243FB">
        <w:rPr>
          <w:b/>
          <w:bCs/>
        </w:rPr>
        <w:t>héorie-</w:t>
      </w:r>
      <w:r w:rsidR="00481B4E">
        <w:rPr>
          <w:b/>
          <w:bCs/>
        </w:rPr>
        <w:t>p</w:t>
      </w:r>
      <w:r w:rsidRPr="009243FB">
        <w:rPr>
          <w:b/>
          <w:bCs/>
        </w:rPr>
        <w:t>ratique :</w:t>
      </w:r>
      <w:r w:rsidRPr="009243FB">
        <w:t xml:space="preserve"> En fournissant un coaching individualisé, les participants peuvent adapter plus facilement la théorie apprise aux réalités spécifiques de leur environnement professionnel.</w:t>
      </w:r>
    </w:p>
    <w:p w14:paraId="7D04DBB9" w14:textId="431218F3" w:rsidR="009243FB" w:rsidRPr="009243FB" w:rsidRDefault="009243FB" w:rsidP="00C87D7C">
      <w:pPr>
        <w:numPr>
          <w:ilvl w:val="0"/>
          <w:numId w:val="9"/>
        </w:numPr>
        <w:spacing w:after="160" w:line="259" w:lineRule="auto"/>
        <w:jc w:val="both"/>
      </w:pPr>
      <w:r w:rsidRPr="009243FB">
        <w:rPr>
          <w:b/>
          <w:bCs/>
        </w:rPr>
        <w:t xml:space="preserve">Motivation et </w:t>
      </w:r>
      <w:r w:rsidR="003871FB">
        <w:rPr>
          <w:b/>
          <w:bCs/>
        </w:rPr>
        <w:t>e</w:t>
      </w:r>
      <w:r w:rsidRPr="009243FB">
        <w:rPr>
          <w:b/>
          <w:bCs/>
        </w:rPr>
        <w:t>ngagement :</w:t>
      </w:r>
      <w:r w:rsidRPr="009243FB">
        <w:t xml:space="preserve"> Le fait de savoir qu’un mentor ou coach est disponible renforce la motivation et l’engagement des apprenants, leur offrant un soutien moral et professionnel dans la durée.</w:t>
      </w:r>
    </w:p>
    <w:p w14:paraId="3E6E44F7" w14:textId="2DABAC69" w:rsidR="009243FB" w:rsidRPr="009243FB" w:rsidRDefault="009243FB" w:rsidP="00C87D7C">
      <w:pPr>
        <w:numPr>
          <w:ilvl w:val="0"/>
          <w:numId w:val="9"/>
        </w:numPr>
        <w:spacing w:after="160" w:line="259" w:lineRule="auto"/>
        <w:jc w:val="both"/>
      </w:pPr>
      <w:r w:rsidRPr="009243FB">
        <w:rPr>
          <w:b/>
          <w:bCs/>
        </w:rPr>
        <w:t xml:space="preserve">Mesure et </w:t>
      </w:r>
      <w:r w:rsidR="003871FB">
        <w:rPr>
          <w:b/>
          <w:bCs/>
        </w:rPr>
        <w:t>a</w:t>
      </w:r>
      <w:r w:rsidRPr="009243FB">
        <w:rPr>
          <w:b/>
          <w:bCs/>
        </w:rPr>
        <w:t xml:space="preserve">daptation des </w:t>
      </w:r>
      <w:r w:rsidR="003871FB">
        <w:rPr>
          <w:b/>
          <w:bCs/>
        </w:rPr>
        <w:t>p</w:t>
      </w:r>
      <w:r w:rsidRPr="009243FB">
        <w:rPr>
          <w:b/>
          <w:bCs/>
        </w:rPr>
        <w:t>rogrès :</w:t>
      </w:r>
      <w:r w:rsidRPr="009243FB">
        <w:t xml:space="preserve"> Un suivi individualisé permet de recueillir des données sur la progression de chacun, facilitant ainsi l’ajustement des contenus et des méthodes pédagogiques pour mieux répondre aux besoins évolutifs.</w:t>
      </w:r>
    </w:p>
    <w:p w14:paraId="5A63B22C" w14:textId="77777777" w:rsidR="009243FB" w:rsidRPr="009243FB" w:rsidRDefault="009243FB" w:rsidP="00C87D7C">
      <w:pPr>
        <w:spacing w:after="160" w:line="259" w:lineRule="auto"/>
        <w:jc w:val="both"/>
      </w:pPr>
      <w:r w:rsidRPr="009243FB">
        <w:br w:type="page"/>
      </w:r>
    </w:p>
    <w:p w14:paraId="0F937FEE" w14:textId="63436360" w:rsidR="009243FB" w:rsidRDefault="009243FB" w:rsidP="00C87D7C">
      <w:pPr>
        <w:pStyle w:val="Heading2"/>
        <w:numPr>
          <w:ilvl w:val="0"/>
          <w:numId w:val="13"/>
        </w:numPr>
        <w:jc w:val="both"/>
      </w:pPr>
      <w:r>
        <w:lastRenderedPageBreak/>
        <w:t xml:space="preserve">Evaluation du dispositif de formation </w:t>
      </w:r>
    </w:p>
    <w:p w14:paraId="1EEDD2EE" w14:textId="6C4F09B1" w:rsidR="003871FB" w:rsidRDefault="003871FB" w:rsidP="003871FB">
      <w:r>
        <w:t xml:space="preserve">Les tableaux ci-dessous sont au format Excel à l’adresse suivante : </w:t>
      </w:r>
      <w:hyperlink r:id="rId8" w:history="1">
        <w:r w:rsidRPr="0060727E">
          <w:rPr>
            <w:rStyle w:val="Hyperlink"/>
          </w:rPr>
          <w:t>www.mohamedelafrit.com/fad118</w:t>
        </w:r>
      </w:hyperlink>
    </w:p>
    <w:p w14:paraId="22A3F143" w14:textId="77777777" w:rsidR="003871FB" w:rsidRPr="003871FB" w:rsidRDefault="003871FB" w:rsidP="003871FB"/>
    <w:p w14:paraId="3D0533B9" w14:textId="15704854" w:rsidR="009243FB" w:rsidRDefault="009243FB" w:rsidP="00C87D7C">
      <w:pPr>
        <w:pStyle w:val="Heading3"/>
        <w:numPr>
          <w:ilvl w:val="1"/>
          <w:numId w:val="13"/>
        </w:numPr>
        <w:jc w:val="both"/>
      </w:pPr>
      <w:r w:rsidRPr="009243FB">
        <w:t xml:space="preserve">Définition de critères et indicateurs </w:t>
      </w:r>
    </w:p>
    <w:p w14:paraId="310DDA00" w14:textId="77777777" w:rsidR="009243FB" w:rsidRPr="009243FB" w:rsidRDefault="009243FB" w:rsidP="00C87D7C">
      <w:pPr>
        <w:pStyle w:val="Heading4"/>
        <w:numPr>
          <w:ilvl w:val="2"/>
          <w:numId w:val="13"/>
        </w:numPr>
        <w:jc w:val="both"/>
      </w:pPr>
      <w:r w:rsidRPr="009243FB">
        <w:t xml:space="preserve">Formation </w:t>
      </w:r>
      <w:r>
        <w:t>des</w:t>
      </w:r>
      <w:r w:rsidRPr="009243FB">
        <w:t xml:space="preserve"> tuteurs </w:t>
      </w:r>
    </w:p>
    <w:p w14:paraId="0036B51F" w14:textId="6582E2EC" w:rsidR="009243FB" w:rsidRPr="009243FB" w:rsidRDefault="009243FB" w:rsidP="00C87D7C">
      <w:pPr>
        <w:jc w:val="both"/>
      </w:pPr>
      <w:r w:rsidRPr="009243FB">
        <w:drawing>
          <wp:inline distT="0" distB="0" distL="0" distR="0" wp14:anchorId="230D294C" wp14:editId="4711276F">
            <wp:extent cx="6229350" cy="4150360"/>
            <wp:effectExtent l="0" t="0" r="0" b="2540"/>
            <wp:docPr id="16525416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0" cy="4150360"/>
                    </a:xfrm>
                    <a:prstGeom prst="rect">
                      <a:avLst/>
                    </a:prstGeom>
                    <a:noFill/>
                    <a:ln>
                      <a:noFill/>
                    </a:ln>
                  </pic:spPr>
                </pic:pic>
              </a:graphicData>
            </a:graphic>
          </wp:inline>
        </w:drawing>
      </w:r>
    </w:p>
    <w:p w14:paraId="611E3094" w14:textId="77777777" w:rsidR="009243FB" w:rsidRPr="009243FB" w:rsidRDefault="009243FB" w:rsidP="00C87D7C">
      <w:pPr>
        <w:pStyle w:val="Heading4"/>
        <w:numPr>
          <w:ilvl w:val="2"/>
          <w:numId w:val="13"/>
        </w:numPr>
        <w:jc w:val="both"/>
      </w:pPr>
      <w:r w:rsidRPr="009243FB">
        <w:lastRenderedPageBreak/>
        <w:t xml:space="preserve">Formation </w:t>
      </w:r>
      <w:r>
        <w:t>des</w:t>
      </w:r>
      <w:r w:rsidRPr="009243FB">
        <w:t xml:space="preserve"> apprentis </w:t>
      </w:r>
    </w:p>
    <w:p w14:paraId="77D6811C" w14:textId="75827EA2" w:rsidR="009243FB" w:rsidRPr="009243FB" w:rsidRDefault="009243FB" w:rsidP="00C87D7C">
      <w:pPr>
        <w:jc w:val="both"/>
      </w:pPr>
      <w:r w:rsidRPr="009243FB">
        <w:drawing>
          <wp:inline distT="0" distB="0" distL="0" distR="0" wp14:anchorId="67ED2583" wp14:editId="49C10ADD">
            <wp:extent cx="6229350" cy="4150360"/>
            <wp:effectExtent l="0" t="0" r="0" b="2540"/>
            <wp:docPr id="3158728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0" cy="4150360"/>
                    </a:xfrm>
                    <a:prstGeom prst="rect">
                      <a:avLst/>
                    </a:prstGeom>
                    <a:noFill/>
                    <a:ln>
                      <a:noFill/>
                    </a:ln>
                  </pic:spPr>
                </pic:pic>
              </a:graphicData>
            </a:graphic>
          </wp:inline>
        </w:drawing>
      </w:r>
    </w:p>
    <w:p w14:paraId="49A523B0" w14:textId="171B20F7" w:rsidR="00C87D7C" w:rsidRDefault="00C87D7C">
      <w:pPr>
        <w:spacing w:after="160" w:line="259" w:lineRule="auto"/>
      </w:pPr>
      <w:r>
        <w:br w:type="page"/>
      </w:r>
    </w:p>
    <w:p w14:paraId="40FBE57F" w14:textId="7F88C547" w:rsidR="00CE5473" w:rsidRPr="009243FB" w:rsidRDefault="009243FB" w:rsidP="00C87D7C">
      <w:pPr>
        <w:pStyle w:val="Heading3"/>
        <w:numPr>
          <w:ilvl w:val="1"/>
          <w:numId w:val="13"/>
        </w:numPr>
        <w:jc w:val="both"/>
      </w:pPr>
      <w:r w:rsidRPr="009243FB">
        <w:lastRenderedPageBreak/>
        <w:t>Proposition de g</w:t>
      </w:r>
      <w:r w:rsidR="00CE5473" w:rsidRPr="009243FB">
        <w:t xml:space="preserve">rille d’évaluation du dispositif de formation </w:t>
      </w:r>
    </w:p>
    <w:p w14:paraId="4AED1D3A" w14:textId="23DE0E5F" w:rsidR="00CE5473" w:rsidRPr="009243FB" w:rsidRDefault="00CE5473" w:rsidP="00C87D7C">
      <w:pPr>
        <w:pStyle w:val="Heading4"/>
        <w:numPr>
          <w:ilvl w:val="2"/>
          <w:numId w:val="13"/>
        </w:numPr>
        <w:jc w:val="both"/>
      </w:pPr>
      <w:r w:rsidRPr="009243FB">
        <w:t xml:space="preserve">Formation </w:t>
      </w:r>
      <w:r w:rsidR="009243FB">
        <w:t>des</w:t>
      </w:r>
      <w:r w:rsidRPr="009243FB">
        <w:t xml:space="preserve"> tuteurs </w:t>
      </w:r>
    </w:p>
    <w:p w14:paraId="0B439511" w14:textId="77777777" w:rsidR="00CE5473" w:rsidRPr="009243FB" w:rsidRDefault="00CE5473" w:rsidP="00C87D7C">
      <w:pPr>
        <w:jc w:val="both"/>
      </w:pPr>
    </w:p>
    <w:p w14:paraId="1BA79201" w14:textId="26492BA5" w:rsidR="00CE5473" w:rsidRPr="009243FB" w:rsidRDefault="00CE5473" w:rsidP="00C87D7C">
      <w:pPr>
        <w:jc w:val="both"/>
      </w:pPr>
      <w:r w:rsidRPr="009243FB">
        <w:drawing>
          <wp:inline distT="0" distB="0" distL="0" distR="0" wp14:anchorId="5D975678" wp14:editId="3AEAF6FB">
            <wp:extent cx="6229350" cy="6268085"/>
            <wp:effectExtent l="0" t="0" r="0" b="0"/>
            <wp:docPr id="158316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350" cy="6268085"/>
                    </a:xfrm>
                    <a:prstGeom prst="rect">
                      <a:avLst/>
                    </a:prstGeom>
                    <a:noFill/>
                    <a:ln>
                      <a:noFill/>
                    </a:ln>
                  </pic:spPr>
                </pic:pic>
              </a:graphicData>
            </a:graphic>
          </wp:inline>
        </w:drawing>
      </w:r>
    </w:p>
    <w:p w14:paraId="3E1D793D" w14:textId="77777777" w:rsidR="00CE5473" w:rsidRPr="009243FB" w:rsidRDefault="00CE5473" w:rsidP="00C87D7C">
      <w:pPr>
        <w:jc w:val="both"/>
      </w:pPr>
    </w:p>
    <w:p w14:paraId="12F47A22" w14:textId="47FE1BCE" w:rsidR="00CE5473" w:rsidRPr="009243FB" w:rsidRDefault="00CE5473" w:rsidP="00C87D7C">
      <w:pPr>
        <w:spacing w:after="160" w:line="259" w:lineRule="auto"/>
        <w:jc w:val="both"/>
      </w:pPr>
      <w:r w:rsidRPr="009243FB">
        <w:br w:type="page"/>
      </w:r>
    </w:p>
    <w:p w14:paraId="7220FB6A" w14:textId="60BAC80C" w:rsidR="00CE5473" w:rsidRPr="009243FB" w:rsidRDefault="00CE5473" w:rsidP="00C87D7C">
      <w:pPr>
        <w:pStyle w:val="Heading4"/>
        <w:numPr>
          <w:ilvl w:val="2"/>
          <w:numId w:val="13"/>
        </w:numPr>
        <w:jc w:val="both"/>
      </w:pPr>
      <w:r w:rsidRPr="009243FB">
        <w:lastRenderedPageBreak/>
        <w:t xml:space="preserve">Formation </w:t>
      </w:r>
      <w:r w:rsidR="009243FB">
        <w:t>des</w:t>
      </w:r>
      <w:r w:rsidRPr="009243FB">
        <w:t xml:space="preserve"> </w:t>
      </w:r>
      <w:r w:rsidRPr="009243FB">
        <w:t>apprentis</w:t>
      </w:r>
      <w:r w:rsidRPr="009243FB">
        <w:t xml:space="preserve"> </w:t>
      </w:r>
    </w:p>
    <w:p w14:paraId="7A7D832D" w14:textId="77777777" w:rsidR="00CE5473" w:rsidRPr="009243FB" w:rsidRDefault="00CE5473" w:rsidP="00C87D7C">
      <w:pPr>
        <w:jc w:val="both"/>
      </w:pPr>
    </w:p>
    <w:p w14:paraId="611F7F33" w14:textId="0A1D3A32" w:rsidR="00CE5473" w:rsidRDefault="00CE5473" w:rsidP="00C87D7C">
      <w:pPr>
        <w:jc w:val="both"/>
      </w:pPr>
      <w:r w:rsidRPr="009243FB">
        <w:drawing>
          <wp:inline distT="0" distB="0" distL="0" distR="0" wp14:anchorId="2255A454" wp14:editId="5D30CBC1">
            <wp:extent cx="6229350" cy="5890895"/>
            <wp:effectExtent l="0" t="0" r="0" b="0"/>
            <wp:docPr id="7700086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9350" cy="5890895"/>
                    </a:xfrm>
                    <a:prstGeom prst="rect">
                      <a:avLst/>
                    </a:prstGeom>
                    <a:noFill/>
                    <a:ln>
                      <a:noFill/>
                    </a:ln>
                  </pic:spPr>
                </pic:pic>
              </a:graphicData>
            </a:graphic>
          </wp:inline>
        </w:drawing>
      </w:r>
    </w:p>
    <w:p w14:paraId="1161BA4B" w14:textId="77777777" w:rsidR="00C87D7C" w:rsidRDefault="00C87D7C" w:rsidP="00C87D7C">
      <w:pPr>
        <w:jc w:val="both"/>
      </w:pPr>
    </w:p>
    <w:p w14:paraId="1675D79E" w14:textId="77777777" w:rsidR="00C87D7C" w:rsidRPr="009243FB" w:rsidRDefault="00C87D7C" w:rsidP="00C87D7C">
      <w:pPr>
        <w:jc w:val="both"/>
      </w:pPr>
    </w:p>
    <w:sectPr w:rsidR="00C87D7C" w:rsidRPr="009243FB" w:rsidSect="00C87D7C">
      <w:headerReference w:type="default" r:id="rId13"/>
      <w:pgSz w:w="11906" w:h="16838"/>
      <w:pgMar w:top="1350" w:right="836" w:bottom="990" w:left="99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C4B2D" w14:textId="77777777" w:rsidR="00C40303" w:rsidRDefault="00C40303" w:rsidP="003F78CF">
      <w:pPr>
        <w:spacing w:line="240" w:lineRule="auto"/>
      </w:pPr>
      <w:r>
        <w:separator/>
      </w:r>
    </w:p>
  </w:endnote>
  <w:endnote w:type="continuationSeparator" w:id="0">
    <w:p w14:paraId="5B203B44" w14:textId="77777777" w:rsidR="00C40303" w:rsidRDefault="00C40303" w:rsidP="003F78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2716B" w14:textId="77777777" w:rsidR="00C40303" w:rsidRDefault="00C40303" w:rsidP="003F78CF">
      <w:pPr>
        <w:spacing w:line="240" w:lineRule="auto"/>
      </w:pPr>
      <w:r>
        <w:separator/>
      </w:r>
    </w:p>
  </w:footnote>
  <w:footnote w:type="continuationSeparator" w:id="0">
    <w:p w14:paraId="0F2FC7B0" w14:textId="77777777" w:rsidR="00C40303" w:rsidRDefault="00C40303" w:rsidP="003F78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B0DA4" w14:textId="41F0400A" w:rsidR="003F78CF" w:rsidRDefault="003F78CF" w:rsidP="003F78CF">
    <w:r>
      <w:t>CNAM</w:t>
    </w:r>
    <w:r>
      <w:tab/>
      <w:t xml:space="preserve">- FAD118 Ingénierie d'une action de formation - Etude de cas : métier de facteur </w:t>
    </w:r>
    <w:r w:rsidR="00C87D7C">
      <w:t>–</w:t>
    </w:r>
    <w:r>
      <w:t xml:space="preserve"> 2024</w:t>
    </w:r>
    <w:r w:rsidR="00C87D7C">
      <w:t>-2025</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F5E8C"/>
    <w:multiLevelType w:val="multilevel"/>
    <w:tmpl w:val="D406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31DFE"/>
    <w:multiLevelType w:val="multilevel"/>
    <w:tmpl w:val="88E2B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056D46"/>
    <w:multiLevelType w:val="hybridMultilevel"/>
    <w:tmpl w:val="A544CA00"/>
    <w:lvl w:ilvl="0" w:tplc="4992FC88">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B7996"/>
    <w:multiLevelType w:val="multilevel"/>
    <w:tmpl w:val="A0B8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E10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091B2F"/>
    <w:multiLevelType w:val="multilevel"/>
    <w:tmpl w:val="325A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F54DAF"/>
    <w:multiLevelType w:val="multilevel"/>
    <w:tmpl w:val="D996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5D61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C823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6F3BFE"/>
    <w:multiLevelType w:val="multilevel"/>
    <w:tmpl w:val="5B4C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73DED"/>
    <w:multiLevelType w:val="multilevel"/>
    <w:tmpl w:val="BB28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AB6682"/>
    <w:multiLevelType w:val="multilevel"/>
    <w:tmpl w:val="AD60B422"/>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2" w15:restartNumberingAfterBreak="0">
    <w:nsid w:val="6DD2510C"/>
    <w:multiLevelType w:val="hybridMultilevel"/>
    <w:tmpl w:val="D430E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5274E6"/>
    <w:multiLevelType w:val="multilevel"/>
    <w:tmpl w:val="EB10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5E51AF"/>
    <w:multiLevelType w:val="multilevel"/>
    <w:tmpl w:val="C7FA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2481638">
    <w:abstractNumId w:val="11"/>
  </w:num>
  <w:num w:numId="2" w16cid:durableId="426662171">
    <w:abstractNumId w:val="2"/>
  </w:num>
  <w:num w:numId="3" w16cid:durableId="1417284548">
    <w:abstractNumId w:val="14"/>
  </w:num>
  <w:num w:numId="4" w16cid:durableId="1439063831">
    <w:abstractNumId w:val="1"/>
  </w:num>
  <w:num w:numId="5" w16cid:durableId="446438208">
    <w:abstractNumId w:val="5"/>
  </w:num>
  <w:num w:numId="6" w16cid:durableId="1638022577">
    <w:abstractNumId w:val="0"/>
  </w:num>
  <w:num w:numId="7" w16cid:durableId="1009523422">
    <w:abstractNumId w:val="10"/>
  </w:num>
  <w:num w:numId="8" w16cid:durableId="1840464638">
    <w:abstractNumId w:val="6"/>
  </w:num>
  <w:num w:numId="9" w16cid:durableId="2080327954">
    <w:abstractNumId w:val="9"/>
  </w:num>
  <w:num w:numId="10" w16cid:durableId="350304193">
    <w:abstractNumId w:val="13"/>
  </w:num>
  <w:num w:numId="11" w16cid:durableId="99572568">
    <w:abstractNumId w:val="3"/>
  </w:num>
  <w:num w:numId="12" w16cid:durableId="1509055227">
    <w:abstractNumId w:val="4"/>
  </w:num>
  <w:num w:numId="13" w16cid:durableId="2113739255">
    <w:abstractNumId w:val="8"/>
  </w:num>
  <w:num w:numId="14" w16cid:durableId="1067462490">
    <w:abstractNumId w:val="7"/>
  </w:num>
  <w:num w:numId="15" w16cid:durableId="7850788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CF"/>
    <w:rsid w:val="00297EC2"/>
    <w:rsid w:val="003871FB"/>
    <w:rsid w:val="003B2B60"/>
    <w:rsid w:val="003F78CF"/>
    <w:rsid w:val="00481B4E"/>
    <w:rsid w:val="004C2592"/>
    <w:rsid w:val="007453E9"/>
    <w:rsid w:val="007A38E6"/>
    <w:rsid w:val="008462BF"/>
    <w:rsid w:val="009243FB"/>
    <w:rsid w:val="009D545D"/>
    <w:rsid w:val="00AA6300"/>
    <w:rsid w:val="00AC1029"/>
    <w:rsid w:val="00C40303"/>
    <w:rsid w:val="00C87D7C"/>
    <w:rsid w:val="00CE54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86AD4"/>
  <w15:chartTrackingRefBased/>
  <w15:docId w15:val="{0EBDBFEC-D1E7-4E51-B2CC-4D6DC4FE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473"/>
    <w:pPr>
      <w:spacing w:after="0" w:line="276" w:lineRule="auto"/>
    </w:pPr>
    <w:rPr>
      <w:rFonts w:ascii="Arial" w:eastAsia="Arial" w:hAnsi="Arial" w:cs="Arial"/>
    </w:rPr>
  </w:style>
  <w:style w:type="paragraph" w:styleId="Heading1">
    <w:name w:val="heading 1"/>
    <w:basedOn w:val="Normal"/>
    <w:next w:val="Normal"/>
    <w:link w:val="Heading1Char"/>
    <w:uiPriority w:val="9"/>
    <w:qFormat/>
    <w:rsid w:val="003F78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78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F78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F78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8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8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8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8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8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8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78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F78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F78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8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8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8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8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8CF"/>
    <w:rPr>
      <w:rFonts w:eastAsiaTheme="majorEastAsia" w:cstheme="majorBidi"/>
      <w:color w:val="272727" w:themeColor="text1" w:themeTint="D8"/>
    </w:rPr>
  </w:style>
  <w:style w:type="paragraph" w:styleId="Title">
    <w:name w:val="Title"/>
    <w:basedOn w:val="Normal"/>
    <w:next w:val="Normal"/>
    <w:link w:val="TitleChar"/>
    <w:uiPriority w:val="10"/>
    <w:qFormat/>
    <w:rsid w:val="003F78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8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8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8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8CF"/>
    <w:pPr>
      <w:spacing w:before="160"/>
      <w:jc w:val="center"/>
    </w:pPr>
    <w:rPr>
      <w:i/>
      <w:iCs/>
      <w:color w:val="404040" w:themeColor="text1" w:themeTint="BF"/>
    </w:rPr>
  </w:style>
  <w:style w:type="character" w:customStyle="1" w:styleId="QuoteChar">
    <w:name w:val="Quote Char"/>
    <w:basedOn w:val="DefaultParagraphFont"/>
    <w:link w:val="Quote"/>
    <w:uiPriority w:val="29"/>
    <w:rsid w:val="003F78CF"/>
    <w:rPr>
      <w:i/>
      <w:iCs/>
      <w:color w:val="404040" w:themeColor="text1" w:themeTint="BF"/>
    </w:rPr>
  </w:style>
  <w:style w:type="paragraph" w:styleId="ListParagraph">
    <w:name w:val="List Paragraph"/>
    <w:basedOn w:val="Normal"/>
    <w:uiPriority w:val="34"/>
    <w:qFormat/>
    <w:rsid w:val="003F78CF"/>
    <w:pPr>
      <w:ind w:left="720"/>
      <w:contextualSpacing/>
    </w:pPr>
  </w:style>
  <w:style w:type="character" w:styleId="IntenseEmphasis">
    <w:name w:val="Intense Emphasis"/>
    <w:basedOn w:val="DefaultParagraphFont"/>
    <w:uiPriority w:val="21"/>
    <w:qFormat/>
    <w:rsid w:val="003F78CF"/>
    <w:rPr>
      <w:i/>
      <w:iCs/>
      <w:color w:val="0F4761" w:themeColor="accent1" w:themeShade="BF"/>
    </w:rPr>
  </w:style>
  <w:style w:type="paragraph" w:styleId="IntenseQuote">
    <w:name w:val="Intense Quote"/>
    <w:basedOn w:val="Normal"/>
    <w:next w:val="Normal"/>
    <w:link w:val="IntenseQuoteChar"/>
    <w:uiPriority w:val="30"/>
    <w:qFormat/>
    <w:rsid w:val="003F78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8CF"/>
    <w:rPr>
      <w:i/>
      <w:iCs/>
      <w:color w:val="0F4761" w:themeColor="accent1" w:themeShade="BF"/>
    </w:rPr>
  </w:style>
  <w:style w:type="character" w:styleId="IntenseReference">
    <w:name w:val="Intense Reference"/>
    <w:basedOn w:val="DefaultParagraphFont"/>
    <w:uiPriority w:val="32"/>
    <w:qFormat/>
    <w:rsid w:val="003F78CF"/>
    <w:rPr>
      <w:b/>
      <w:bCs/>
      <w:smallCaps/>
      <w:color w:val="0F4761" w:themeColor="accent1" w:themeShade="BF"/>
      <w:spacing w:val="5"/>
    </w:rPr>
  </w:style>
  <w:style w:type="paragraph" w:styleId="Header">
    <w:name w:val="header"/>
    <w:basedOn w:val="Normal"/>
    <w:link w:val="HeaderChar"/>
    <w:uiPriority w:val="99"/>
    <w:unhideWhenUsed/>
    <w:rsid w:val="003F78CF"/>
    <w:pPr>
      <w:tabs>
        <w:tab w:val="center" w:pos="4703"/>
        <w:tab w:val="right" w:pos="9406"/>
      </w:tabs>
      <w:spacing w:line="240" w:lineRule="auto"/>
    </w:pPr>
  </w:style>
  <w:style w:type="character" w:customStyle="1" w:styleId="HeaderChar">
    <w:name w:val="Header Char"/>
    <w:basedOn w:val="DefaultParagraphFont"/>
    <w:link w:val="Header"/>
    <w:uiPriority w:val="99"/>
    <w:rsid w:val="003F78CF"/>
  </w:style>
  <w:style w:type="paragraph" w:styleId="Footer">
    <w:name w:val="footer"/>
    <w:basedOn w:val="Normal"/>
    <w:link w:val="FooterChar"/>
    <w:uiPriority w:val="99"/>
    <w:unhideWhenUsed/>
    <w:rsid w:val="003F78CF"/>
    <w:pPr>
      <w:tabs>
        <w:tab w:val="center" w:pos="4703"/>
        <w:tab w:val="right" w:pos="9406"/>
      </w:tabs>
      <w:spacing w:line="240" w:lineRule="auto"/>
    </w:pPr>
  </w:style>
  <w:style w:type="character" w:customStyle="1" w:styleId="FooterChar">
    <w:name w:val="Footer Char"/>
    <w:basedOn w:val="DefaultParagraphFont"/>
    <w:link w:val="Footer"/>
    <w:uiPriority w:val="99"/>
    <w:rsid w:val="003F78CF"/>
  </w:style>
  <w:style w:type="character" w:styleId="Hyperlink">
    <w:name w:val="Hyperlink"/>
    <w:basedOn w:val="DefaultParagraphFont"/>
    <w:uiPriority w:val="99"/>
    <w:unhideWhenUsed/>
    <w:rsid w:val="003F78CF"/>
    <w:rPr>
      <w:color w:val="467886" w:themeColor="hyperlink"/>
      <w:u w:val="single"/>
    </w:rPr>
  </w:style>
  <w:style w:type="character" w:styleId="UnresolvedMention">
    <w:name w:val="Unresolved Mention"/>
    <w:basedOn w:val="DefaultParagraphFont"/>
    <w:uiPriority w:val="99"/>
    <w:semiHidden/>
    <w:unhideWhenUsed/>
    <w:rsid w:val="00387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37477">
      <w:bodyDiv w:val="1"/>
      <w:marLeft w:val="0"/>
      <w:marRight w:val="0"/>
      <w:marTop w:val="0"/>
      <w:marBottom w:val="0"/>
      <w:divBdr>
        <w:top w:val="none" w:sz="0" w:space="0" w:color="auto"/>
        <w:left w:val="none" w:sz="0" w:space="0" w:color="auto"/>
        <w:bottom w:val="none" w:sz="0" w:space="0" w:color="auto"/>
        <w:right w:val="none" w:sz="0" w:space="0" w:color="auto"/>
      </w:divBdr>
    </w:div>
    <w:div w:id="559637225">
      <w:bodyDiv w:val="1"/>
      <w:marLeft w:val="0"/>
      <w:marRight w:val="0"/>
      <w:marTop w:val="0"/>
      <w:marBottom w:val="0"/>
      <w:divBdr>
        <w:top w:val="none" w:sz="0" w:space="0" w:color="auto"/>
        <w:left w:val="none" w:sz="0" w:space="0" w:color="auto"/>
        <w:bottom w:val="none" w:sz="0" w:space="0" w:color="auto"/>
        <w:right w:val="none" w:sz="0" w:space="0" w:color="auto"/>
      </w:divBdr>
    </w:div>
    <w:div w:id="1723674246">
      <w:bodyDiv w:val="1"/>
      <w:marLeft w:val="0"/>
      <w:marRight w:val="0"/>
      <w:marTop w:val="0"/>
      <w:marBottom w:val="0"/>
      <w:divBdr>
        <w:top w:val="none" w:sz="0" w:space="0" w:color="auto"/>
        <w:left w:val="none" w:sz="0" w:space="0" w:color="auto"/>
        <w:bottom w:val="none" w:sz="0" w:space="0" w:color="auto"/>
        <w:right w:val="none" w:sz="0" w:space="0" w:color="auto"/>
      </w:divBdr>
    </w:div>
    <w:div w:id="213975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hamedelafrit.com/fad11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ohamedelafrit.com/fad118" TargetMode="Externa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1321</TotalTime>
  <Pages>8</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AFRIT Mohamed Amine</dc:creator>
  <cp:keywords/>
  <dc:description/>
  <cp:lastModifiedBy>EL AFRIT Mohamed Amine</cp:lastModifiedBy>
  <cp:revision>5</cp:revision>
  <dcterms:created xsi:type="dcterms:W3CDTF">2025-03-04T00:55:00Z</dcterms:created>
  <dcterms:modified xsi:type="dcterms:W3CDTF">2025-03-04T22:57:00Z</dcterms:modified>
</cp:coreProperties>
</file>